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60"/>
        <w:rPr>
          <w:rFonts w:ascii="Bahnschrift" w:hAnsi="Bahnschrift" w:eastAsia="Bahnschrift" w:cs="Bahnschrift"/>
          <w:b/>
          <w:bCs/>
          <w:color w:val="4A6A94"/>
          <w:spacing w:val="30"/>
          <w:sz w:val="18"/>
          <w:szCs w:val="18"/>
        </w:rPr>
      </w:pPr>
      <w:r>
        <w:rPr>
          <w:rFonts w:eastAsia="Bahnschrift" w:cs="Bahnschrift"/>
          <w:b/>
          <w:bCs/>
          <w:color w:val="4A6A94"/>
          <w:spacing w:val="30"/>
          <w:sz w:val="18"/>
          <w:szCs w:val="18"/>
        </w:rPr>
        <w:t>DOKUMENT 6</w:t>
      </w:r>
    </w:p>
    <w:p>
      <w:pPr>
        <w:pStyle w:val="Heading1"/>
        <w:keepNext w:val="true"/>
        <w:rPr>
          <w:rFonts w:ascii="Bahnschrift" w:hAnsi="Bahnschrift" w:eastAsia="Bahnschrift" w:cs="Bahnschrift"/>
          <w:b/>
          <w:bCs/>
          <w:color w:val="1E1D2D"/>
          <w:sz w:val="40"/>
          <w:szCs w:val="40"/>
        </w:rPr>
      </w:pPr>
      <w:bookmarkStart w:id="0" w:name="h183"/>
      <w:r>
        <w:rPr>
          <w:rFonts w:eastAsia="Bahnschrift" w:cs="Bahnschrift" w:ascii="Bahnschrift" w:hAnsi="Bahnschrift"/>
          <w:b/>
          <w:bCs/>
          <w:color w:val="1E1D2D"/>
          <w:sz w:val="40"/>
          <w:szCs w:val="40"/>
        </w:rPr>
        <w:t>Unterrichtung des Betriebsrats über geplante KI-Funktionen</w:t>
      </w:r>
      <w:bookmarkEnd w:id="0"/>
    </w:p>
    <w:tbl>
      <w:tblPr>
        <w:tblW w:w="9070" w:type="dxa"/>
        <w:jc w:val="left"/>
        <w:tblInd w:w="0" w:type="dxa"/>
        <w:tblLayout w:type="fixed"/>
        <w:tblCellMar>
          <w:top w:w="100" w:type="dxa"/>
          <w:left w:w="180" w:type="dxa"/>
          <w:bottom w:w="60" w:type="dxa"/>
          <w:right w:w="160" w:type="dxa"/>
        </w:tblCellMar>
      </w:tblPr>
      <w:tblGrid>
        <w:gridCol w:w="9070"/>
      </w:tblGrid>
      <w:tr>
        <w:trPr/>
        <w:tc>
          <w:tcPr>
            <w:tcW w:w="9070" w:type="dxa"/>
            <w:tcBorders>
              <w:left w:val="single" w:sz="18" w:space="0" w:color="1E1D2D"/>
            </w:tcBorders>
            <w:shd w:fill="EEF3F9" w:val="clear"/>
          </w:tcPr>
          <w:p>
            <w:pPr>
              <w:pStyle w:val="Normal"/>
              <w:spacing w:lineRule="auto" w:line="264" w:before="0" w:after="110"/>
              <w:rPr/>
            </w:pPr>
            <w:r>
              <w:rPr>
                <w:rFonts w:eastAsia="Bahnschrift" w:cs="Bahnschrift"/>
                <w:b/>
                <w:bCs/>
                <w:sz w:val="19"/>
                <w:szCs w:val="19"/>
              </w:rPr>
              <w:t>Vorlage zur Anpassung, keine Rechtsberatung.</w:t>
            </w:r>
            <w:r>
              <w:rPr>
                <w:rFonts w:eastAsia="Bahnschrift" w:cs="Bahnschrift"/>
                <w:sz w:val="19"/>
                <w:szCs w:val="19"/>
              </w:rPr>
              <w:t xml:space="preserve"> Gedacht als Unterrichtung nach § 80 Absatz 2 BetrVG, bevor über eine Betriebsvereinbarung verhandelt wird. Platzhalter in eckigen Klammern ersetzen, nicht zutreffende Angaben streichen.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Hinweise zur Verwendung stehen am Ende des Dokuments.</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Beschreibungen der Funktionen von WORKSPACE.PM geben den Stand zum angegebenen Datum wieder; vor der Verwendung mit der aktuellen Fassung der Referenzdokumentation abgleichen.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Herausgeber der Vorlage: AMNAU GmbH (Hersteller von WORKSPACE.PM) · Stand: 2026-10-05 · Version 1.0</w:t>
            </w:r>
          </w:p>
        </w:tc>
      </w:tr>
    </w:tbl>
    <w:p>
      <w:pPr>
        <w:pStyle w:val="Normal"/>
        <w:spacing w:lineRule="auto" w:line="120" w:before="0" w:after="160"/>
        <w:rPr/>
      </w:pPr>
      <w:r>
        <w:rPr/>
      </w:r>
    </w:p>
    <w:p>
      <w:pPr>
        <w:pStyle w:val="Normal"/>
        <w:spacing w:before="0" w:after="120"/>
        <w:rPr/>
      </w:pPr>
      <w:r>
        <w:rPr/>
      </w:r>
    </w:p>
    <w:p>
      <w:pPr>
        <w:pStyle w:val="Normal"/>
        <w:spacing w:lineRule="auto" w:line="264" w:before="0" w:after="110"/>
        <w:rPr>
          <w:rFonts w:ascii="Bahnschrift" w:hAnsi="Bahnschrift" w:eastAsia="Bahnschrift" w:cs="Bahnschrift"/>
          <w:b/>
          <w:bCs/>
          <w:sz w:val="19"/>
          <w:szCs w:val="19"/>
        </w:rPr>
      </w:pPr>
      <w:r>
        <w:rPr>
          <w:rFonts w:eastAsia="Bahnschrift" w:cs="Bahnschrift"/>
          <w:b/>
          <w:bCs/>
          <w:sz w:val="19"/>
          <w:szCs w:val="19"/>
        </w:rPr>
        <w:t>An den Betriebsrat der [Unternehmen]</w:t>
      </w:r>
    </w:p>
    <w:p>
      <w:pPr>
        <w:pStyle w:val="Normal"/>
        <w:spacing w:lineRule="auto" w:line="264" w:before="0" w:after="110"/>
        <w:rPr>
          <w:rFonts w:ascii="Bahnschrift" w:hAnsi="Bahnschrift" w:eastAsia="Bahnschrift" w:cs="Bahnschrift"/>
          <w:b/>
          <w:bCs/>
          <w:sz w:val="19"/>
          <w:szCs w:val="19"/>
        </w:rPr>
      </w:pPr>
      <w:r>
        <w:rPr>
          <w:rFonts w:eastAsia="Bahnschrift" w:cs="Bahnschrift"/>
          <w:b/>
          <w:bCs/>
          <w:sz w:val="19"/>
          <w:szCs w:val="19"/>
        </w:rPr>
        <w:t>Betreff: Geplanter Einsatz von KI-Funktionen in WORKSPACE.PM (Unterrichtung nach § 80 Absatz 2 BetrVG)</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[Ort], den [Datum]</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Sehr geehrte Damen und Herren,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wir beabsichtigen, in der von uns eingesetzten Projektmanagement-Software WORKSPACE.PM Funktionen zu aktivieren, die ein Sprachmodell (KI) nutzen. Wir unterrichten Sie hiermit über das Vorhaben und schlagen vor, dazu eine Betriebsvereinbarung zu schließen.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Wir gehen davon aus, dass das Vorhaben nach § 87 Absatz 1 Nummer 6 BetrVG mitbestimmungspflichtig ist. Die Gründe dafür erläutern wir unter Punkt 5.</w:t>
      </w:r>
    </w:p>
    <w:p>
      <w:pPr>
        <w:pStyle w:val="Heading2"/>
        <w:keepNext w:val="true"/>
        <w:rPr>
          <w:rFonts w:ascii="Bahnschrift" w:hAnsi="Bahnschrift" w:eastAsia="Bahnschrift" w:cs="Bahnschrift"/>
          <w:b/>
          <w:bCs/>
          <w:color w:val="1E1D2D"/>
          <w:sz w:val="28"/>
          <w:szCs w:val="28"/>
        </w:rPr>
      </w:pPr>
      <w:bookmarkStart w:id="1" w:name="h184"/>
      <w:r>
        <w:rPr>
          <w:rFonts w:eastAsia="Bahnschrift" w:cs="Bahnschrift" w:ascii="Bahnschrift" w:hAnsi="Bahnschrift"/>
          <w:b/>
          <w:bCs/>
          <w:color w:val="1E1D2D"/>
          <w:sz w:val="28"/>
          <w:szCs w:val="28"/>
        </w:rPr>
        <w:t>1. Worum es geht</w:t>
      </w:r>
      <w:bookmarkEnd w:id="1"/>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WORKSPACE.PM ist die Software, mit der wir Projekte planen und verfolgen. Sie enthält zusätzliche Funktionen, die auf Anforderung eines Beschäftigten ein Sprachmodell befragen. Diese Funktionen sind derzeit [nicht aktiv / in folgendem Umfang aktiv: …].</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Vorgesehen sind:</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ein Chat-Assistent, dem Beschäftigte Fragen zu ihren Projekten stellen können und der auf Wunsch auch Daten anlegt oder ändert,</w:t>
      </w:r>
    </w:p>
    <w:p>
      <w:pPr>
        <w:pStyle w:val="ListParagraph"/>
        <w:numPr>
          <w:ilvl w:val="0"/>
          <w:numId w:val="2"/>
        </w:numPr>
        <w:spacing w:lineRule="auto" w:line="264" w:before="0" w:after="60"/>
        <w:rPr/>
      </w:pPr>
      <w:r>
        <w:rPr>
          <w:rFonts w:eastAsia="Bahnschrift" w:cs="Bahnschrift"/>
          <w:b/>
          <w:bCs/>
          <w:sz w:val="19"/>
          <w:szCs w:val="19"/>
        </w:rPr>
        <w:t>Textvorschläge</w:t>
      </w:r>
      <w:r>
        <w:rPr>
          <w:rFonts w:eastAsia="Bahnschrift" w:cs="Bahnschrift"/>
          <w:sz w:val="19"/>
          <w:szCs w:val="19"/>
        </w:rPr>
        <w:t>, etwa für Projektbeschreibungen, Ziele, Risiken und Maßnahmen,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 Auswertung von Besprechungsprotokollen: Ergebnisse und Aufgaben werden daraus zur Übernahme vorgeschlagen,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[eine Projekt-Zusammenfassung, die beim Öffnen der Projektübersicht automatisch erzeugt und gespeichert wird und für alle mit Leserecht am Projekt sichtbar ist,]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[ein Chat mit dem Assistenten in Microsoft Teams und ein Protokollentwurf aus dem Transkript einer Teams-Besprechung, der erst nach Prüfung übernommen wird,]</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[eine Schnittstelle für externe KI-Anwendungen (MCP), über die Beschäftigte externe KI-Anwendungen mit den Daten verbinden können. Sie ist derzeit [abgeschaltet und wird erst nach Abschluss der Beteiligung eingeschaltet / eingeschaltet]].</w:t>
      </w:r>
    </w:p>
    <w:p>
      <w:pPr>
        <w:pStyle w:val="Normal"/>
        <w:spacing w:lineRule="auto" w:line="120" w:before="0" w:after="60"/>
        <w:rPr/>
      </w:pPr>
      <w:r>
        <w:rPr/>
      </w:r>
    </w:p>
    <w:p>
      <w:pPr>
        <w:pStyle w:val="Heading2"/>
        <w:keepNext w:val="true"/>
        <w:rPr/>
      </w:pPr>
      <w:bookmarkStart w:id="2" w:name="h185"/>
      <w:r>
        <w:rPr>
          <w:rFonts w:eastAsia="Bahnschrift" w:cs="Bahnschrift" w:ascii="Bahnschrift" w:hAnsi="Bahnschrift"/>
          <w:b/>
          <w:bCs/>
          <w:color w:val="1E1D2D"/>
          <w:sz w:val="28"/>
          <w:szCs w:val="28"/>
        </w:rPr>
        <w:t>2. Wie die Funktionen arbeiten</w:t>
      </w:r>
      <w:bookmarkEnd w:id="2"/>
    </w:p>
    <w:p>
      <w:pPr>
        <w:pStyle w:val="Normal"/>
        <w:spacing w:lineRule="auto" w:line="264" w:before="0" w:after="110"/>
        <w:rPr/>
      </w:pPr>
      <w:r>
        <w:rPr>
          <w:rFonts w:eastAsia="Bahnschrift" w:cs="Bahnschrift"/>
          <w:b/>
          <w:bCs/>
          <w:sz w:val="19"/>
          <w:szCs w:val="19"/>
        </w:rPr>
        <w:t>Die KI wird nur auf Anforderung tätig.</w:t>
      </w:r>
      <w:r>
        <w:rPr>
          <w:rFonts w:eastAsia="Bahnschrift" w:cs="Bahnschrift"/>
          <w:sz w:val="19"/>
          <w:szCs w:val="19"/>
        </w:rPr>
        <w:t xml:space="preserve"> Es gibt keine zeitgesteuerten KI-Läufe und keine Funktion, die ohne Handlung eines Beschäftigten Daten ändert. Einzige Ausnahme vom ausdrücklichen Anstoß ist die Projekt-Zusammenfassung: Sie wird beim Öffnen der Projektübersicht automatisch neu erzeugt, wenn keine oder nur eine über drei Tage alte vorliegt.</w:t>
      </w:r>
    </w:p>
    <w:p>
      <w:pPr>
        <w:pStyle w:val="Normal"/>
        <w:spacing w:lineRule="auto" w:line="264" w:before="0" w:after="110"/>
        <w:rPr/>
      </w:pPr>
      <w:r>
        <w:rPr>
          <w:rFonts w:eastAsia="Bahnschrift" w:cs="Bahnschrift"/>
          <w:b/>
          <w:bCs/>
          <w:sz w:val="19"/>
          <w:szCs w:val="19"/>
        </w:rPr>
        <w:t>Die KI sieht nur, was die anfragende Person auch sehen darf.</w:t>
      </w:r>
      <w:r>
        <w:rPr>
          <w:rFonts w:eastAsia="Bahnschrift" w:cs="Bahnschrift"/>
          <w:sz w:val="19"/>
          <w:szCs w:val="19"/>
        </w:rPr>
        <w:t xml:space="preserve"> Jeder Zugriff erfolgt unter deren Anmeldung und im Rahmen ihrer Berechtigungen; die KI erhält keine zusätzlichen Rechte. Die automatische Projekt-Zusammenfassung ist für alle mit Leserecht am Projekt sichtbar und enthält deshalb nur Angaben, die diese Personen ohnehin sehen dürfen.</w:t>
      </w:r>
    </w:p>
    <w:p>
      <w:pPr>
        <w:pStyle w:val="Normal"/>
        <w:spacing w:lineRule="auto" w:line="264" w:before="0" w:after="110"/>
        <w:rPr/>
      </w:pPr>
      <w:r>
        <w:rPr>
          <w:rFonts w:eastAsia="Bahnschrift" w:cs="Bahnschrift"/>
          <w:b/>
          <w:bCs/>
          <w:sz w:val="19"/>
          <w:szCs w:val="19"/>
        </w:rPr>
        <w:t>Änderungen im Assistenten müssen bestätigt werden.</w:t>
      </w:r>
      <w:r>
        <w:rPr>
          <w:rFonts w:eastAsia="Bahnschrift" w:cs="Bahnschrift"/>
          <w:sz w:val="19"/>
          <w:szCs w:val="19"/>
        </w:rPr>
        <w:t xml:space="preserve"> Soll der Assistent Daten anlegen oder ändern, wird jeder Vorgang zunächst mit allen Werten angezeigt und muss von der Person einzeln bestätigt werden.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[Für die Schnittstelle für externe KI-Anwendungen gilt das nicht. Schreibende Aktionen über diese Schnittstelle werden nicht in WORKSPACE.PM bestätigt; ob und wie sie bestätigt werden, bestimmt die externe Anwendung. Schreibende Zugriffe über die Schnittstelle lassen sich je Rolle ausschließen. [In unserem Mandanten erlauben die mitgelieferten Rollen schreibende Zugriffe; sie werden für den Einstieg auf lesenden Zugriff umgestellt (siehe Punkt 6). / In unserem Mandanten erlauben die Rollen PMO und Team nur lesenden Zugriff.]]</w:t>
      </w:r>
    </w:p>
    <w:p>
      <w:pPr>
        <w:pStyle w:val="Normal"/>
        <w:spacing w:lineRule="auto" w:line="264" w:before="0" w:after="110"/>
        <w:rPr/>
      </w:pPr>
      <w:r>
        <w:rPr>
          <w:rFonts w:eastAsia="Bahnschrift" w:cs="Bahnschrift"/>
          <w:b/>
          <w:bCs/>
          <w:sz w:val="19"/>
          <w:szCs w:val="19"/>
        </w:rPr>
        <w:t>Ergebnisse sind Vorschläge.</w:t>
      </w:r>
      <w:r>
        <w:rPr>
          <w:rFonts w:eastAsia="Bahnschrift" w:cs="Bahnschrift"/>
          <w:sz w:val="19"/>
          <w:szCs w:val="19"/>
        </w:rPr>
        <w:t xml:space="preserve"> Sprachmodelle erzeugen plausible, nicht notwendigerweise zutreffende Texte. Die fachliche Verantwortung bleibt bei den Beschäftigten. Übernommene Vorschläge werden als normale Daten gespeichert; im Datenbestand ist danach nicht durchgängig erkennbar, dass sie mit KI-Unterstützung entstanden sind.</w:t>
      </w:r>
    </w:p>
    <w:p>
      <w:pPr>
        <w:pStyle w:val="Heading2"/>
        <w:keepNext w:val="true"/>
        <w:rPr>
          <w:rFonts w:ascii="Bahnschrift" w:hAnsi="Bahnschrift" w:eastAsia="Bahnschrift" w:cs="Bahnschrift"/>
          <w:b/>
          <w:bCs/>
          <w:color w:val="1E1D2D"/>
          <w:sz w:val="28"/>
          <w:szCs w:val="28"/>
        </w:rPr>
      </w:pPr>
      <w:bookmarkStart w:id="3" w:name="h186"/>
      <w:r>
        <w:rPr>
          <w:rFonts w:eastAsia="Bahnschrift" w:cs="Bahnschrift" w:ascii="Bahnschrift" w:hAnsi="Bahnschrift"/>
          <w:b/>
          <w:bCs/>
          <w:color w:val="1E1D2D"/>
          <w:sz w:val="28"/>
          <w:szCs w:val="28"/>
        </w:rPr>
        <w:t>3. Welche Daten verarbeitet werden</w:t>
      </w:r>
      <w:bookmarkEnd w:id="3"/>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An das Sprachmodell werden übermittelt: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 Eingaben der anfragenden Person,</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bei Nutzung des Chat-Assistenten deren Name und Rollenbezeichnung [falls der Systemtext angepasst wurde: zusätzlich der Name des Unternehmens und das aktuelle Datum]; weitere Angaben zur Person wie E-Mail-Adresse, Personalnummer oder Vorgesetzte werden nicht übermittelt,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bei der Auswertung von Besprechungsprotokollen deren Text, der typischerweise Namen von Beschäftigten und deren Beiträge enthält,</w:t>
      </w:r>
    </w:p>
    <w:p>
      <w:pPr>
        <w:pStyle w:val="ListParagraph"/>
        <w:numPr>
          <w:ilvl w:val="0"/>
          <w:numId w:val="2"/>
        </w:numPr>
        <w:spacing w:lineRule="auto" w:line="264" w:before="0" w:after="60"/>
        <w:rPr>
          <w:rFonts w:ascii="Bahnschrift" w:hAnsi="Bahnschrift" w:eastAsia="Bahnschrift" w:cs="Bahnschrift"/>
          <w:sz w:val="19"/>
          <w:szCs w:val="19"/>
        </w:rPr>
      </w:pPr>
      <w:r>
        <w:rPr>
          <w:rFonts w:eastAsia="Bahnschrift" w:cs="Bahnschrift"/>
          <w:sz w:val="19"/>
          <w:szCs w:val="19"/>
        </w:rPr>
        <w:t>diejenigen Daten aus WORKSPACE.PM, die im Verlauf der Anfrage abgerufen werden. Darunter können Namen und Angaben zu Beschäftigten sein, etwa als Projektbeteiligte, Aufgabenverantwortliche, in der Zeiterfassung oder als Teilnehmende einer Besprechung.</w:t>
      </w:r>
    </w:p>
    <w:p>
      <w:pPr>
        <w:pStyle w:val="Normal"/>
        <w:spacing w:lineRule="auto" w:line="120" w:before="0" w:after="6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Der Umfang der zuletzt genannten Daten steht nicht von vornherein fest, sondern ergibt sich aus dem Verlauf der jeweiligen Anfrage.</w:t>
      </w:r>
    </w:p>
    <w:p>
      <w:pPr>
        <w:pStyle w:val="Normal"/>
        <w:spacing w:lineRule="auto" w:line="264" w:before="0" w:after="110"/>
        <w:rPr/>
      </w:pPr>
      <w:r>
        <w:rPr>
          <w:rFonts w:eastAsia="Bahnschrift" w:cs="Bahnschrift"/>
          <w:b/>
          <w:bCs/>
          <w:sz w:val="19"/>
          <w:szCs w:val="19"/>
        </w:rPr>
        <w:t>Wer betreibt das Modell?</w:t>
      </w:r>
      <w:r>
        <w:rPr>
          <w:rFonts w:eastAsia="Bahnschrift" w:cs="Bahnschrift"/>
          <w:sz w:val="19"/>
          <w:szCs w:val="19"/>
        </w:rPr>
        <w:t xml:space="preserve"> [Wir beabsichtigen, ein Modell auf eigener Hardware zu betreiben; in diesem Fall verlassen keine Daten unser Haus (bei selbst betriebener Installation von WORKSPACE.PM). / Wir beabsichtigen, den KI-Anbieter … einzusetzen; in diesem Fall werden die genannten Daten an diesen übermittelt. Der Verarbeitungsstandort ist …; ein Auftragsverarbeitungsvertrag [besteht / wird geschlossen]. / [Nur falls vom Hersteller angeboten, derzeit nicht der Fall:] Wir beabsichtigen, das vom Hersteller verwaltete Modell … zu nutzen; in diesem Fall werden die genannten Daten über den Hersteller an den KI-Anbieter dieses Modells übermittelt, der als Unterauftragnehmer des Herstellers tätig ist. Der Verarbeitungsstandort ist ….]</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[Externe KI-Anwendungen. Verbindet eine Person eine externe KI-Anwendung, erhält diese die abgerufenen Daten. Was sie damit tut, etwa ob sie die Daten an einen weiteren KI-Anbieter übermittelt, liegt außerhalb der Kontrolle von WORKSPACE.PM. Die Verbindung bestätigt die Person auf einer Zustimmungsseite. Eine technische Beschränkung auf eine Liste zugelassener Anwendungen ist derzeit nicht möglich; die Schnittstelle lässt sich insgesamt oder je Rolle abschalten.]</w:t>
      </w:r>
    </w:p>
    <w:p>
      <w:pPr>
        <w:pStyle w:val="Heading2"/>
        <w:keepNext w:val="true"/>
        <w:rPr/>
      </w:pPr>
      <w:bookmarkStart w:id="4" w:name="h187"/>
      <w:r>
        <w:rPr>
          <w:rFonts w:eastAsia="Bahnschrift" w:cs="Bahnschrift" w:ascii="Bahnschrift" w:hAnsi="Bahnschrift"/>
          <w:b/>
          <w:bCs/>
          <w:color w:val="1E1D2D"/>
          <w:sz w:val="28"/>
          <w:szCs w:val="28"/>
        </w:rPr>
        <w:t>4. Welche Aufzeichnungen entstehen</w:t>
      </w:r>
      <w:bookmarkEnd w:id="4"/>
    </w:p>
    <w:tbl>
      <w:tblPr>
        <w:tblW w:w="9070" w:type="dxa"/>
        <w:jc w:val="left"/>
        <w:tblInd w:w="0" w:type="dxa"/>
        <w:tblLayout w:type="fixed"/>
        <w:tblCellMar>
          <w:top w:w="60" w:type="dxa"/>
          <w:left w:w="90" w:type="dxa"/>
          <w:bottom w:w="60" w:type="dxa"/>
          <w:right w:w="90" w:type="dxa"/>
        </w:tblCellMar>
      </w:tblPr>
      <w:tblGrid>
        <w:gridCol w:w="1440"/>
        <w:gridCol w:w="5047"/>
        <w:gridCol w:w="2583"/>
      </w:tblGrid>
      <w:tr>
        <w:trPr>
          <w:tblHeader w:val="true"/>
          <w:cantSplit w:val="true"/>
        </w:trPr>
        <w:tc>
          <w:tcPr>
            <w:tcW w:w="1440"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Aufzeichnung</w:t>
            </w:r>
          </w:p>
        </w:tc>
        <w:tc>
          <w:tcPr>
            <w:tcW w:w="5047"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Inhalt</w:t>
            </w:r>
          </w:p>
        </w:tc>
        <w:tc>
          <w:tcPr>
            <w:tcW w:w="2583"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Zweck</w:t>
            </w:r>
          </w:p>
        </w:tc>
      </w:tr>
      <w:tr>
        <w:trPr>
          <w:cantSplit w:val="true"/>
        </w:trPr>
        <w:tc>
          <w:tcPr>
            <w:tcW w:w="14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Änderungsprotokoll</w:t>
            </w:r>
          </w:p>
        </w:tc>
        <w:tc>
          <w:tcPr>
            <w:tcW w:w="504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wer wann welches Objekt geändert hat, mit altem und neuem Wert, und ob die Änderung über die Oberfläche, den Assistenten oder eine externe KI-Anwendung erfolgte; nur soweit die jeweilige Funktion einen Eintrag schreibt</w:t>
            </w:r>
          </w:p>
        </w:tc>
        <w:tc>
          <w:tcPr>
            <w:tcW w:w="258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Nachvollziehbarkeit von Datenänderungen</w:t>
            </w:r>
          </w:p>
        </w:tc>
      </w:tr>
      <w:tr>
        <w:trPr>
          <w:cantSplit w:val="true"/>
        </w:trPr>
        <w:tc>
          <w:tcPr>
            <w:tcW w:w="144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Verbrauchsaufzeichnung</w:t>
            </w:r>
          </w:p>
        </w:tc>
        <w:tc>
          <w:tcPr>
            <w:tcW w:w="504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je Vorgang: Zeitpunkt, Person, Unterhaltung, verwendetes Modell, Anzahl der verarbeiteten Texteinheiten (Token), ohne Inhalte</w:t>
            </w:r>
          </w:p>
        </w:tc>
        <w:tc>
          <w:tcPr>
            <w:tcW w:w="258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Nachweis der Nutzung, Kostenzuordnung, Einhaltung von Budgets</w:t>
            </w:r>
          </w:p>
        </w:tc>
      </w:tr>
      <w:tr>
        <w:trPr>
          <w:cantSplit w:val="true"/>
        </w:trPr>
        <w:tc>
          <w:tcPr>
            <w:tcW w:w="1440"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Betriebsprotokoll des Servers</w:t>
            </w:r>
          </w:p>
        </w:tc>
        <w:tc>
          <w:tcPr>
            <w:tcW w:w="504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je schreibender Aktion des Assistenten: Werkzeugname, Person, Ergebnis, ohne Inhalte</w:t>
            </w:r>
          </w:p>
        </w:tc>
        <w:tc>
          <w:tcPr>
            <w:tcW w:w="258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[nach Festlegung des Systembetriebs]</w:t>
            </w:r>
          </w:p>
        </w:tc>
      </w:tr>
      <w:tr>
        <w:trPr>
          <w:cantSplit w:val="true"/>
        </w:trPr>
        <w:tc>
          <w:tcPr>
            <w:tcW w:w="1440"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[Verbindungsübersicht]</w:t>
            </w:r>
          </w:p>
        </w:tc>
        <w:tc>
          <w:tcPr>
            <w:tcW w:w="504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[je Person: aktive Verbindungen, Anzahl der Anfragen, letzte Nutzung, zuletzt genutzte externe KI-Anwendung]</w:t>
            </w:r>
          </w:p>
        </w:tc>
        <w:tc>
          <w:tcPr>
            <w:tcW w:w="258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[Übersicht über die Zugänge]</w:t>
            </w:r>
          </w:p>
        </w:tc>
      </w:tr>
    </w:tbl>
    <w:p>
      <w:pPr>
        <w:pStyle w:val="Normal"/>
        <w:spacing w:lineRule="auto" w:line="120" w:before="0" w:after="140"/>
        <w:rPr/>
      </w:pPr>
      <w:r>
        <w:rPr/>
      </w:r>
    </w:p>
    <w:p>
      <w:pPr>
        <w:pStyle w:val="Normal"/>
        <w:spacing w:lineRule="auto" w:line="264" w:before="0" w:after="110"/>
        <w:rPr/>
      </w:pPr>
      <w:r>
        <w:rPr>
          <w:rFonts w:eastAsia="Bahnschrift" w:cs="Bahnschrift"/>
          <w:b/>
          <w:bCs/>
          <w:sz w:val="19"/>
          <w:szCs w:val="19"/>
        </w:rPr>
        <w:t>Auswertung der Verbrauchsdaten.</w:t>
      </w:r>
      <w:r>
        <w:rPr>
          <w:rFonts w:eastAsia="Bahnschrift" w:cs="Bahnschrift"/>
          <w:sz w:val="19"/>
          <w:szCs w:val="19"/>
        </w:rPr>
        <w:t xml:space="preserve"> Die Administration kann die Verbrauchsdaten je Person über die gesamte Zeit, absteigend sortiert als Rangliste, sowie je Person und Kalendermonat auswerten; sind Preise hinterlegt, zusätzlich mit einer Kostenschätzung je Person. Diese Daten können damit das Nutzungsverhalten einzelner Beschäftigter sichtbar machen.</w:t>
      </w:r>
    </w:p>
    <w:p>
      <w:pPr>
        <w:pStyle w:val="Normal"/>
        <w:spacing w:lineRule="auto" w:line="264" w:before="0" w:after="110"/>
        <w:rPr/>
      </w:pPr>
      <w:r>
        <w:rPr>
          <w:rFonts w:eastAsia="Bahnschrift" w:cs="Bahnschrift"/>
          <w:b/>
          <w:bCs/>
          <w:sz w:val="19"/>
          <w:szCs w:val="19"/>
        </w:rPr>
        <w:t>Unterhaltungen mit dem Assistenten</w:t>
      </w:r>
      <w:r>
        <w:rPr>
          <w:rFonts w:eastAsia="Bahnschrift" w:cs="Bahnschrift"/>
          <w:sz w:val="19"/>
          <w:szCs w:val="19"/>
        </w:rPr>
        <w:t xml:space="preserve"> werden gespeichert, einschließlich der dabei abgerufenen Daten. Gespeicherte Chat-Verläufe sind in der Software ausschließlich der Person zugänglich, die sie geführt hat. Weder Vorgesetzte noch Administratoren können sie dort einsehen. Die Person kann sie jederzeit selbst löschen. Die Administration kann die Verläufe einer Person nur als Ganzes löschen, etwa beim Ausscheiden, ohne sie lesen zu können. Eine automatische Löschfrist für Verläufe sieht die Software derzeit nicht vor; für die Verbrauchsdaten ist eine Löschfrist einstellbar [eingestellt: … Monate].</w:t>
      </w:r>
    </w:p>
    <w:p>
      <w:pPr>
        <w:pStyle w:val="Heading2"/>
        <w:keepNext w:val="true"/>
        <w:rPr>
          <w:rFonts w:ascii="Bahnschrift" w:hAnsi="Bahnschrift" w:eastAsia="Bahnschrift" w:cs="Bahnschrift"/>
          <w:b/>
          <w:bCs/>
          <w:color w:val="1E1D2D"/>
          <w:sz w:val="28"/>
          <w:szCs w:val="28"/>
        </w:rPr>
      </w:pPr>
      <w:bookmarkStart w:id="5" w:name="h188"/>
      <w:r>
        <w:rPr>
          <w:rFonts w:eastAsia="Bahnschrift" w:cs="Bahnschrift" w:ascii="Bahnschrift" w:hAnsi="Bahnschrift"/>
          <w:b/>
          <w:bCs/>
          <w:color w:val="1E1D2D"/>
          <w:sz w:val="28"/>
          <w:szCs w:val="28"/>
        </w:rPr>
        <w:t>5. Warum wir von einer Mitbestimmungspflicht ausgehen</w:t>
      </w:r>
      <w:bookmarkEnd w:id="5"/>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Dieser Punkt ist für die Beurteilung des Vorhabens wesentlich.</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Software enthält keine Funktion zur Bewertung von Beschäftigten und wertet nichts selbsttätig aus. Die Funktionen sind jedoch objektiv geeignet, entsprechende Auswertungen zu erzeugen: Wer Aufgabenlisten mit Zuweisung und Fälligkeit, Zeiterfassungsdaten und die Liste der Nutzer abrufen darf, kann das Sprachmodell bitten, daraus eine Aussage über die Arbeitsweise einzelner Personen abzuleiten, etwa dazu, wer Aufgaben häufig verspätet abschließt.</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Nach der Rechtsprechung kommt es für § 87 Absatz 1 Nummer 6 BetrVG auf die objektive Eignung zur Überwachung an, nicht auf die beabsichtigte Verwendung. Diese Eignung ist hier gegeben.</w:t>
      </w:r>
    </w:p>
    <w:p>
      <w:pPr>
        <w:pStyle w:val="Normal"/>
        <w:spacing w:lineRule="auto" w:line="264" w:before="0" w:after="110"/>
        <w:rPr/>
      </w:pPr>
      <w:r>
        <w:rPr>
          <w:rFonts w:eastAsia="Bahnschrift" w:cs="Bahnschrift"/>
          <w:b/>
          <w:bCs/>
          <w:sz w:val="19"/>
          <w:szCs w:val="19"/>
        </w:rPr>
        <w:t>Wir beabsichtigen keine solche Auswertung</w:t>
      </w:r>
      <w:r>
        <w:rPr>
          <w:rFonts w:eastAsia="Bahnschrift" w:cs="Bahnschrift"/>
          <w:sz w:val="19"/>
          <w:szCs w:val="19"/>
        </w:rPr>
        <w:t xml:space="preserve"> und schlagen vor, sie in der Betriebsvereinbarung ausdrücklich auszuschließen, einschließlich eines Verbots, auf diesem Weg gewonnene Erkenntnisse zum Nachteil von Beschäftigten zu verwenden.</w:t>
      </w:r>
    </w:p>
    <w:p>
      <w:pPr>
        <w:pStyle w:val="Heading2"/>
        <w:keepNext w:val="true"/>
        <w:rPr>
          <w:rFonts w:ascii="Bahnschrift" w:hAnsi="Bahnschrift" w:eastAsia="Bahnschrift" w:cs="Bahnschrift"/>
          <w:b/>
          <w:bCs/>
          <w:color w:val="1E1D2D"/>
          <w:sz w:val="28"/>
          <w:szCs w:val="28"/>
        </w:rPr>
      </w:pPr>
      <w:bookmarkStart w:id="6" w:name="h189"/>
      <w:r>
        <w:rPr>
          <w:rFonts w:eastAsia="Bahnschrift" w:cs="Bahnschrift" w:ascii="Bahnschrift" w:hAnsi="Bahnschrift"/>
          <w:b/>
          <w:bCs/>
          <w:color w:val="1E1D2D"/>
          <w:sz w:val="28"/>
          <w:szCs w:val="28"/>
        </w:rPr>
        <w:t>6. Was wir vorschlagen</w:t>
      </w:r>
      <w:bookmarkEnd w:id="6"/>
    </w:p>
    <w:p>
      <w:pPr>
        <w:pStyle w:val="ListParagraph"/>
        <w:numPr>
          <w:ilvl w:val="0"/>
          <w:numId w:val="4"/>
        </w:numPr>
        <w:spacing w:lineRule="auto" w:line="264" w:before="0" w:after="60"/>
        <w:rPr/>
      </w:pPr>
      <w:r>
        <w:rPr>
          <w:rFonts w:eastAsia="Bahnschrift" w:cs="Bahnschrift"/>
          <w:b/>
          <w:bCs/>
          <w:sz w:val="19"/>
          <w:szCs w:val="19"/>
        </w:rPr>
        <w:t>Betriebsvereinbarung.</w:t>
      </w:r>
      <w:r>
        <w:rPr>
          <w:rFonts w:eastAsia="Bahnschrift" w:cs="Bahnschrift"/>
          <w:sz w:val="19"/>
          <w:szCs w:val="19"/>
        </w:rPr>
        <w:t xml:space="preserve"> Wir legen einen Entwurf bei, der auf der tatsächlichen Funktionsweise der Software beruht. Er beschränkt unter anderem die Verwendung der Aufzeichnungen nach Punkt 4 auf festgelegte Zwecke.</w:t>
      </w:r>
    </w:p>
    <w:p>
      <w:pPr>
        <w:pStyle w:val="ListParagraph"/>
        <w:numPr>
          <w:ilvl w:val="0"/>
          <w:numId w:val="3"/>
        </w:numPr>
        <w:spacing w:lineRule="auto" w:line="264" w:before="0" w:after="60"/>
        <w:rPr/>
      </w:pPr>
      <w:r>
        <w:rPr>
          <w:rFonts w:eastAsia="Bahnschrift" w:cs="Bahnschrift"/>
          <w:b/>
          <w:bCs/>
          <w:sz w:val="19"/>
          <w:szCs w:val="19"/>
        </w:rPr>
        <w:t>Zurückhaltender Einstieg.</w:t>
      </w:r>
      <w:r>
        <w:rPr>
          <w:rFonts w:eastAsia="Bahnschrift" w:cs="Bahnschrift"/>
          <w:sz w:val="19"/>
          <w:szCs w:val="19"/>
        </w:rPr>
        <w:t xml:space="preserve"> Beginn mit ausschließlich lesendem Zugriff der KI: im Assistenten über den Nur-Lesen-Modus[, bei der Schnittstelle für externe KI-Anwendungen über eine nur lesende Berechtigung]; Erweiterung erst nach gemeinsamer Auswertung der Erfahrungen. Auch nach einer Erweiterung auf Anlegen und Ändern bleibt das Löschen über die KI zunächst gesperrt; die Software kann es getrennt sperren.</w:t>
      </w:r>
    </w:p>
    <w:p>
      <w:pPr>
        <w:pStyle w:val="ListParagraph"/>
        <w:numPr>
          <w:ilvl w:val="0"/>
          <w:numId w:val="3"/>
        </w:numPr>
        <w:spacing w:lineRule="auto" w:line="264" w:before="0" w:after="60"/>
        <w:rPr/>
      </w:pPr>
      <w:r>
        <w:rPr>
          <w:rFonts w:eastAsia="Bahnschrift" w:cs="Bahnschrift"/>
          <w:b/>
          <w:bCs/>
          <w:sz w:val="19"/>
          <w:szCs w:val="19"/>
        </w:rPr>
        <w:t>Begrenzter Kreis.</w:t>
      </w:r>
      <w:r>
        <w:rPr>
          <w:rFonts w:eastAsia="Bahnschrift" w:cs="Bahnschrift"/>
          <w:sz w:val="19"/>
          <w:szCs w:val="19"/>
        </w:rPr>
        <w:t xml:space="preserve"> Freischaltung zunächst für [Bereich / Personenkreis]. [Die Rechte für Zeiterfassung und nutzerbezogene Listen werden für diesen Kreis eng geschnitten.]</w:t>
      </w:r>
    </w:p>
    <w:p>
      <w:pPr>
        <w:pStyle w:val="ListParagraph"/>
        <w:numPr>
          <w:ilvl w:val="0"/>
          <w:numId w:val="3"/>
        </w:numPr>
        <w:spacing w:lineRule="auto" w:line="264" w:before="0" w:after="60"/>
        <w:rPr/>
      </w:pPr>
      <w:r>
        <w:rPr>
          <w:rFonts w:eastAsia="Bahnschrift" w:cs="Bahnschrift"/>
          <w:b/>
          <w:bCs/>
          <w:sz w:val="19"/>
          <w:szCs w:val="19"/>
        </w:rPr>
        <w:t>Freiwilligkeit.</w:t>
      </w:r>
      <w:r>
        <w:rPr>
          <w:rFonts w:eastAsia="Bahnschrift" w:cs="Bahnschrift"/>
          <w:sz w:val="19"/>
          <w:szCs w:val="19"/>
        </w:rPr>
        <w:t xml:space="preserve"> Niemand muss die Funktionen nutzen; aus der Nichtnutzung entstehen keine Nachteile.</w:t>
      </w:r>
    </w:p>
    <w:p>
      <w:pPr>
        <w:pStyle w:val="ListParagraph"/>
        <w:numPr>
          <w:ilvl w:val="0"/>
          <w:numId w:val="3"/>
        </w:numPr>
        <w:spacing w:lineRule="auto" w:line="264" w:before="0" w:after="60"/>
        <w:rPr/>
      </w:pPr>
      <w:r>
        <w:rPr>
          <w:rFonts w:eastAsia="Bahnschrift" w:cs="Bahnschrift"/>
          <w:b/>
          <w:bCs/>
          <w:sz w:val="19"/>
          <w:szCs w:val="19"/>
        </w:rPr>
        <w:t>Beteiligung bei Änderungen.</w:t>
      </w:r>
      <w:r>
        <w:rPr>
          <w:rFonts w:eastAsia="Bahnschrift" w:cs="Bahnschrift"/>
          <w:sz w:val="19"/>
          <w:szCs w:val="19"/>
        </w:rPr>
        <w:t xml:space="preserve"> Der Umfang der Funktionen, auf die die KI zugreifen kann, kann sich mit jeder Programmfassung ändern, in der Regel durch neue Funktionen. Der Hersteller stellt je Fassung ein automatisch erzeugtes Verzeichnis dieser Funktionen bereit (Werkzeugkatalog, siehe Punkt 7). Wir leiten es Ihnen zu, sodass Sie zwei Stände unmittelbar vergleichen können.</w:t>
      </w:r>
    </w:p>
    <w:p>
      <w:pPr>
        <w:pStyle w:val="Normal"/>
        <w:spacing w:lineRule="auto" w:line="120" w:before="0" w:after="60"/>
        <w:rPr/>
      </w:pPr>
      <w:r>
        <w:rPr/>
      </w:r>
    </w:p>
    <w:p>
      <w:pPr>
        <w:pStyle w:val="Heading2"/>
        <w:keepNext w:val="true"/>
        <w:rPr>
          <w:rFonts w:ascii="Bahnschrift" w:hAnsi="Bahnschrift" w:eastAsia="Bahnschrift" w:cs="Bahnschrift"/>
          <w:b/>
          <w:bCs/>
          <w:color w:val="1E1D2D"/>
          <w:sz w:val="28"/>
          <w:szCs w:val="28"/>
        </w:rPr>
      </w:pPr>
      <w:bookmarkStart w:id="7" w:name="h190"/>
      <w:r>
        <w:rPr>
          <w:rFonts w:eastAsia="Bahnschrift" w:cs="Bahnschrift" w:ascii="Bahnschrift" w:hAnsi="Bahnschrift"/>
          <w:b/>
          <w:bCs/>
          <w:color w:val="1E1D2D"/>
          <w:sz w:val="28"/>
          <w:szCs w:val="28"/>
        </w:rPr>
        <w:t>7. Unterlagen</w:t>
      </w:r>
      <w:bookmarkEnd w:id="7"/>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Beigefügt sind [alle folgenden Unterlagen / die folgenden Unterlagen: …]; [die übrigen stellen wir auf Wunsch zur Verfügung]:</w:t>
      </w:r>
    </w:p>
    <w:tbl>
      <w:tblPr>
        <w:tblW w:w="9070" w:type="dxa"/>
        <w:jc w:val="left"/>
        <w:tblInd w:w="0" w:type="dxa"/>
        <w:tblLayout w:type="fixed"/>
        <w:tblCellMar>
          <w:top w:w="60" w:type="dxa"/>
          <w:left w:w="90" w:type="dxa"/>
          <w:bottom w:w="60" w:type="dxa"/>
          <w:right w:w="90" w:type="dxa"/>
        </w:tblCellMar>
      </w:tblPr>
      <w:tblGrid>
        <w:gridCol w:w="4183"/>
        <w:gridCol w:w="4887"/>
      </w:tblGrid>
      <w:tr>
        <w:trPr>
          <w:tblHeader w:val="true"/>
          <w:cantSplit w:val="true"/>
        </w:trPr>
        <w:tc>
          <w:tcPr>
            <w:tcW w:w="4183"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Unterlage</w:t>
            </w:r>
          </w:p>
        </w:tc>
        <w:tc>
          <w:tcPr>
            <w:tcW w:w="4887" w:type="dxa"/>
            <w:tcBorders>
              <w:top w:val="single" w:sz="4" w:space="0" w:color="C9D6E6"/>
              <w:left w:val="single" w:sz="4" w:space="0" w:color="C9D6E6"/>
              <w:bottom w:val="single" w:sz="4" w:space="0" w:color="C9D6E6"/>
              <w:right w:val="single" w:sz="4" w:space="0" w:color="C9D6E6"/>
            </w:tcBorders>
            <w:shd w:fill="BACFE6" w:val="clear"/>
          </w:tcPr>
          <w:p>
            <w:pPr>
              <w:pStyle w:val="Normal"/>
              <w:spacing w:lineRule="auto" w:line="252" w:before="0" w:after="0"/>
              <w:rPr>
                <w:rFonts w:ascii="Bahnschrift" w:hAnsi="Bahnschrift" w:eastAsia="Bahnschrift" w:cs="Bahnschrift"/>
                <w:b/>
                <w:bCs/>
                <w:color w:val="1E1D2D"/>
                <w:sz w:val="17"/>
                <w:szCs w:val="17"/>
              </w:rPr>
            </w:pPr>
            <w:r>
              <w:rPr>
                <w:rFonts w:eastAsia="Bahnschrift" w:cs="Bahnschrift"/>
                <w:b/>
                <w:bCs/>
                <w:color w:val="1E1D2D"/>
                <w:sz w:val="17"/>
                <w:szCs w:val="17"/>
              </w:rPr>
              <w:t>Inhalt</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Entwurf der Betriebsvereinbarung</w:t>
            </w:r>
          </w:p>
        </w:tc>
        <w:tc>
          <w:tcPr>
            <w:tcW w:w="488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Formulierungsvorschlag mit Anlagen</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[Entwurf der Datenschutzinformation für die Beschäftigten]</w:t>
            </w:r>
          </w:p>
        </w:tc>
        <w:tc>
          <w:tcPr>
            <w:tcW w:w="488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[Information nach Art. 13 DSGVO zur KI-Nutzung]</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Informationspapier des Herstellers</w:t>
            </w:r>
          </w:p>
        </w:tc>
        <w:tc>
          <w:tcPr>
            <w:tcW w:w="488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Kurzfassung für Entscheider, einschließlich der bekannten Grenzen der Funktionen</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Referenzdokumentation des Herstellers</w:t>
            </w:r>
          </w:p>
        </w:tc>
        <w:tc>
          <w:tcPr>
            <w:tcW w:w="488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vollständige technische und datenschutzrechtliche Darstellung</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Werkzeugkatalog (Anhang B der Referenzdokumentation)</w:t>
            </w:r>
          </w:p>
        </w:tc>
        <w:tc>
          <w:tcPr>
            <w:tcW w:w="488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alle Funktionen (Werkzeuge), auf die die KI zugreifen kann, mit Beschreibung; wird je Programmfassung automatisch erzeugt</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Wortlaut der Anweisungen an das Modell (Anhang C der Referenzdokumentation)</w:t>
            </w:r>
          </w:p>
        </w:tc>
        <w:tc>
          <w:tcPr>
            <w:tcW w:w="4887" w:type="dxa"/>
            <w:tcBorders>
              <w:top w:val="single" w:sz="4" w:space="0" w:color="C9D6E6"/>
              <w:left w:val="single" w:sz="4" w:space="0" w:color="C9D6E6"/>
              <w:bottom w:val="single" w:sz="4" w:space="0" w:color="C9D6E6"/>
              <w:right w:val="single" w:sz="4" w:space="0" w:color="C9D6E6"/>
            </w:tcBorders>
            <w:shd w:fill="F7F9FC" w:val="clear"/>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die Texte, die die Software dem Sprachmodell voranstellt</w:t>
            </w:r>
          </w:p>
        </w:tc>
      </w:tr>
      <w:tr>
        <w:trPr>
          <w:cantSplit w:val="true"/>
        </w:trPr>
        <w:tc>
          <w:tcPr>
            <w:tcW w:w="4183"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[Datenmodell der KI-bezogenen Daten (Anhang D der Referenzdokumentation)]</w:t>
            </w:r>
          </w:p>
        </w:tc>
        <w:tc>
          <w:tcPr>
            <w:tcW w:w="4887" w:type="dxa"/>
            <w:tcBorders>
              <w:top w:val="single" w:sz="4" w:space="0" w:color="C9D6E6"/>
              <w:left w:val="single" w:sz="4" w:space="0" w:color="C9D6E6"/>
              <w:bottom w:val="single" w:sz="4" w:space="0" w:color="C9D6E6"/>
              <w:right w:val="single" w:sz="4" w:space="0" w:color="C9D6E6"/>
            </w:tcBorders>
          </w:tcPr>
          <w:p>
            <w:pPr>
              <w:pStyle w:val="Normal"/>
              <w:spacing w:lineRule="auto" w:line="252" w:before="0" w:after="0"/>
              <w:rPr>
                <w:rFonts w:ascii="Bahnschrift" w:hAnsi="Bahnschrift" w:eastAsia="Bahnschrift" w:cs="Bahnschrift"/>
                <w:b w:val="false"/>
                <w:bCs w:val="false"/>
                <w:color w:val="1E1D2D"/>
                <w:sz w:val="17"/>
                <w:szCs w:val="17"/>
              </w:rPr>
            </w:pPr>
            <w:r>
              <w:rPr>
                <w:rFonts w:eastAsia="Bahnschrift" w:cs="Bahnschrift"/>
                <w:b w:val="false"/>
                <w:bCs w:val="false"/>
                <w:color w:val="1E1D2D"/>
                <w:sz w:val="17"/>
                <w:szCs w:val="17"/>
              </w:rPr>
              <w:t>[welche Daten die KI-Funktionen im System hinterlassen, wer darauf zugreift und wie sie gelöscht werden]</w:t>
            </w:r>
          </w:p>
        </w:tc>
      </w:tr>
    </w:tbl>
    <w:p>
      <w:pPr>
        <w:pStyle w:val="Normal"/>
        <w:spacing w:lineRule="auto" w:line="120" w:before="0" w:after="140"/>
        <w:rPr/>
      </w:pPr>
      <w:r>
        <w:rPr/>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Die Anweisungen an das Modell liegen im vollen Wortlaut vor. Daraus ist nachvollziehbar, welche Vorgaben das Sprachmodell bei den einzelnen Funktionen erhält.</w:t>
      </w:r>
    </w:p>
    <w:p>
      <w:pPr>
        <w:pStyle w:val="Heading2"/>
        <w:keepNext w:val="true"/>
        <w:rPr>
          <w:rFonts w:ascii="Bahnschrift" w:hAnsi="Bahnschrift" w:eastAsia="Bahnschrift" w:cs="Bahnschrift"/>
          <w:b/>
          <w:bCs/>
          <w:color w:val="1E1D2D"/>
          <w:sz w:val="28"/>
          <w:szCs w:val="28"/>
        </w:rPr>
      </w:pPr>
      <w:bookmarkStart w:id="8" w:name="h191"/>
      <w:r>
        <w:rPr>
          <w:rFonts w:eastAsia="Bahnschrift" w:cs="Bahnschrift" w:ascii="Bahnschrift" w:hAnsi="Bahnschrift"/>
          <w:b/>
          <w:bCs/>
          <w:color w:val="1E1D2D"/>
          <w:sz w:val="28"/>
          <w:szCs w:val="28"/>
        </w:rPr>
        <w:t>8. Weiteres Vorgehen</w:t>
      </w:r>
      <w:bookmarkEnd w:id="8"/>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Wir schlagen einen Termin zur Erörterung in [Kalenderwoche …] vor. Gern stellen wir die Funktionen dabei vor und beantworten Fragen. Für Rückfragen steht Ihnen [Name, Kontakt] zur Verfügung; der betriebliche Datenschutzbeauftragte [Name] ist eingebunden.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Mit freundlichen Grüßen</w:t>
      </w:r>
    </w:p>
    <w:p>
      <w:pPr>
        <w:pStyle w:val="Normal"/>
        <w:spacing w:lineRule="auto" w:line="264" w:before="0" w:after="110"/>
        <w:rPr>
          <w:rFonts w:ascii="Bahnschrift" w:hAnsi="Bahnschrift" w:eastAsia="Bahnschrift" w:cs="Bahnschrift"/>
          <w:sz w:val="19"/>
          <w:szCs w:val="19"/>
        </w:rPr>
      </w:pPr>
      <w:r>
        <w:rPr>
          <w:rFonts w:eastAsia="Bahnschrift" w:cs="Bahnschrift"/>
          <w:sz w:val="19"/>
          <w:szCs w:val="19"/>
        </w:rPr>
        <w:t>[Name, Funktion]</w:t>
      </w:r>
    </w:p>
    <w:p>
      <w:pPr>
        <w:pStyle w:val="Normal"/>
        <w:spacing w:before="0" w:after="120"/>
        <w:rPr/>
      </w:pPr>
      <w:r>
        <w:rPr/>
      </w:r>
    </w:p>
    <w:p>
      <w:pPr>
        <w:pStyle w:val="Heading2"/>
        <w:keepNext w:val="true"/>
        <w:rPr>
          <w:rFonts w:ascii="Bahnschrift" w:hAnsi="Bahnschrift" w:eastAsia="Bahnschrift" w:cs="Bahnschrift"/>
          <w:b/>
          <w:bCs/>
          <w:color w:val="1E1D2D"/>
          <w:sz w:val="28"/>
          <w:szCs w:val="28"/>
        </w:rPr>
      </w:pPr>
      <w:bookmarkStart w:id="9" w:name="h192"/>
      <w:r>
        <w:rPr>
          <w:rFonts w:eastAsia="Bahnschrift" w:cs="Bahnschrift" w:ascii="Bahnschrift" w:hAnsi="Bahnschrift"/>
          <w:b/>
          <w:bCs/>
          <w:color w:val="1E1D2D"/>
          <w:sz w:val="28"/>
          <w:szCs w:val="28"/>
        </w:rPr>
        <w:t>Hinweise zur Verwendung dieser Vorlage</w:t>
      </w:r>
      <w:bookmarkEnd w:id="9"/>
    </w:p>
    <w:p>
      <w:pPr>
        <w:pStyle w:val="Normal"/>
        <w:spacing w:lineRule="auto" w:line="264" w:before="0" w:after="110"/>
        <w:rPr/>
      </w:pPr>
      <w:r>
        <w:rPr>
          <w:rFonts w:eastAsia="Bahnschrift" w:cs="Bahnschrift"/>
          <w:b/>
          <w:bCs/>
          <w:sz w:val="19"/>
          <w:szCs w:val="19"/>
        </w:rPr>
        <w:t>Punkt 5 nicht abschwächen.</w:t>
      </w:r>
      <w:r>
        <w:rPr>
          <w:rFonts w:eastAsia="Bahnschrift" w:cs="Bahnschrift"/>
          <w:sz w:val="19"/>
          <w:szCs w:val="19"/>
        </w:rPr>
        <w:t xml:space="preserve"> Wir empfehlen, die Frage der Mitbestimmung weder offenzulassen noch zu relativieren. Die Auswertungsmöglichkeit ist nicht nur theoretisch gegeben, sondern lässt sich in wenigen Minuten vorführen; eine abgeschwächte Darstellung gäbe den Sachverhalt daher unvollständig wieder. Eine vollständige Unterrichtung ist die Grundlage für eine vertrauensvolle Zusammenarbeit und für sachgerechte Regelungen in der Betriebsvereinbarung.</w:t>
      </w:r>
    </w:p>
    <w:p>
      <w:pPr>
        <w:pStyle w:val="Normal"/>
        <w:spacing w:lineRule="auto" w:line="264" w:before="0" w:after="110"/>
        <w:rPr/>
      </w:pPr>
      <w:r>
        <w:rPr>
          <w:rFonts w:eastAsia="Bahnschrift" w:cs="Bahnschrift"/>
          <w:b/>
          <w:bCs/>
          <w:sz w:val="19"/>
          <w:szCs w:val="19"/>
        </w:rPr>
        <w:t>Punkt 3 vollständig und zutreffend ausfüllen.</w:t>
      </w:r>
      <w:r>
        <w:rPr>
          <w:rFonts w:eastAsia="Bahnschrift" w:cs="Bahnschrift"/>
          <w:sz w:val="19"/>
          <w:szCs w:val="19"/>
        </w:rPr>
        <w:t xml:space="preserve"> Die Angabe zum Betreiber des Modells ist maßgeblich für die datenschutzrechtliche Bewertung (Referenzdokumentation, Abschnitt 2.2 und Kapitel 6). Steht sie noch nicht fest, sollte das ausdrücklich angegeben werden, statt den Platzhalter offenzulassen. So ist für den Betriebsrat erkennbar, welche Frage noch zu klären ist.</w:t>
      </w:r>
    </w:p>
    <w:p>
      <w:pPr>
        <w:pStyle w:val="Normal"/>
        <w:spacing w:lineRule="auto" w:line="264" w:before="0" w:after="110"/>
        <w:rPr/>
      </w:pPr>
      <w:r>
        <w:rPr>
          <w:rFonts w:eastAsia="Bahnschrift" w:cs="Bahnschrift"/>
          <w:b/>
          <w:bCs/>
          <w:sz w:val="19"/>
          <w:szCs w:val="19"/>
        </w:rPr>
        <w:t>Die Unterlagen beilegen.</w:t>
      </w:r>
      <w:r>
        <w:rPr>
          <w:rFonts w:eastAsia="Bahnschrift" w:cs="Bahnschrift"/>
          <w:sz w:val="19"/>
          <w:szCs w:val="19"/>
        </w:rPr>
        <w:t xml:space="preserve"> Das Informationspapier (Abschnitt 8) und die Referenzdokumentation (Abschnitt 2.5) beschreiben die bekannten Grenzen der Funktionen. Liegen sie der Unterrichtung bei, verfügt der Betriebsrat von Beginn an über dieselbe Informationsgrundlage wie der Arbeitgeber, und das Vorhaben lässt sich vollständig beurteilen.</w:t>
      </w:r>
    </w:p>
    <w:p>
      <w:pPr>
        <w:pStyle w:val="Normal"/>
        <w:spacing w:lineRule="auto" w:line="264" w:before="0" w:after="110"/>
        <w:rPr/>
      </w:pPr>
      <w:r>
        <w:rPr>
          <w:rFonts w:eastAsia="Bahnschrift" w:cs="Bahnschrift"/>
          <w:b/>
          <w:bCs/>
          <w:sz w:val="19"/>
          <w:szCs w:val="19"/>
        </w:rPr>
        <w:t>Angaben zur Schnittstelle für externe KI-Anwendungen einheitlich behandeln.</w:t>
      </w:r>
      <w:r>
        <w:rPr>
          <w:rFonts w:eastAsia="Bahnschrift" w:cs="Bahnschrift"/>
          <w:sz w:val="19"/>
          <w:szCs w:val="19"/>
        </w:rPr>
        <w:t xml:space="preserve"> Die Angaben dazu stehen in eckigen Klammern in mehreren Punkten des Schreibens. Ist die Schnittstelle nicht vorgesehen, sind sie an allen Stellen zu streichen; ist sie vorgesehen, sind sie an allen Stellen zu übernehmen.</w:t>
      </w:r>
    </w:p>
    <w:sectPr>
      <w:headerReference w:type="default" r:id="rId2"/>
      <w:footerReference w:type="default" r:id="rId3"/>
      <w:type w:val="nextPage"/>
      <w:pgSz w:w="11906" w:h="16838"/>
      <w:pgMar w:left="1418" w:right="1418" w:gutter="0" w:header="650" w:top="1500" w:footer="600" w:bottom="1300"/>
      <w:pgNumType w:fmt="decimal"/>
      <w:formProt w:val="false"/>
      <w:textDirection w:val="lrTb"/>
      <w:docGrid w:type="default" w:linePitch="360" w:charSpace="102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Bahnschrift">
    <w:charset w:val="01"/>
    <w:family w:val="roman"/>
    <w:pitch w:val="variable"/>
  </w:font>
  <w:font w:name="Bahnschrift">
    <w:charset w:val="01"/>
    <w:family w:val="swiss"/>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right" w:pos="9070" w:leader="none"/>
      </w:tabs>
      <w:rPr/>
    </w:pPr>
    <w:r>
      <w:rPr>
        <w:rFonts w:eastAsia="Bahnschrift" w:cs="Bahnschrift"/>
        <w:color w:val="5B5C6B"/>
        <w:sz w:val="15"/>
        <w:szCs w:val="15"/>
      </w:rPr>
      <w:t>AI-Compliance-Dokumentation · Version 1.0 · Stand 2026-10-05</w:t>
      <w:tab/>
      <w:t xml:space="preserve">Seite </w:t>
    </w:r>
    <w:r>
      <w:rPr/>
      <w:fldChar w:fldCharType="begin"/>
    </w:r>
    <w:r>
      <w:rPr/>
      <w:instrText xml:space="preserve"> PAGE </w:instrText>
    </w:r>
    <w:r>
      <w:rPr/>
      <w:fldChar w:fldCharType="separate"/>
    </w:r>
    <w:r>
      <w:rPr/>
      <w:t>5</w:t>
    </w:r>
    <w:r>
      <w:rPr/>
      <w:fldChar w:fldCharType="end"/>
    </w:r>
    <w:r>
      <w:rPr>
        <w:rFonts w:eastAsia="Bahnschrift" w:cs="Bahnschrift"/>
        <w:color w:val="5B5C6B"/>
        <w:sz w:val="15"/>
        <w:szCs w:val="15"/>
      </w:rPr>
      <w:t xml:space="preserve"> von </w:t>
    </w:r>
    <w:r>
      <w:rPr/>
      <w:fldChar w:fldCharType="begin"/>
    </w:r>
    <w:r>
      <w:rPr/>
      <w:instrText xml:space="preserve"> NUMPAGES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6" w:color="C9D6E6"/>
      </w:pBdr>
      <w:tabs>
        <w:tab w:val="clear" w:pos="720"/>
        <w:tab w:val="right" w:pos="9070" w:leader="none"/>
      </w:tabs>
      <w:spacing w:before="0" w:after="0"/>
      <w:rPr/>
    </w:pPr>
    <w:r>
      <w:rPr/>
      <w:drawing>
        <wp:inline distT="0" distB="0" distL="0" distR="0">
          <wp:extent cx="876300" cy="200025"/>
          <wp:effectExtent l="0" t="0" r="0" b="0"/>
          <wp:docPr id="1" name="Bild7" descr="WORKSPACE.PM&#10;Wortmarke WORKSPACE.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7" descr="WORKSPACE.PM&#10;Wortmarke WORKSPACE.PM"/>
                  <pic:cNvPicPr>
                    <a:picLocks noChangeAspect="1" noChangeArrowheads="1"/>
                  </pic:cNvPicPr>
                </pic:nvPicPr>
                <pic:blipFill>
                  <a:blip r:embed="rId1"/>
                  <a:stretch>
                    <a:fillRect/>
                  </a:stretch>
                </pic:blipFill>
                <pic:spPr bwMode="auto">
                  <a:xfrm>
                    <a:off x="0" y="0"/>
                    <a:ext cx="876300" cy="200025"/>
                  </a:xfrm>
                  <a:prstGeom prst="rect">
                    <a:avLst/>
                  </a:prstGeom>
                </pic:spPr>
              </pic:pic>
            </a:graphicData>
          </a:graphic>
        </wp:inline>
      </w:drawing>
    </w:r>
    <w:r>
      <w:rPr>
        <w:rFonts w:eastAsia="Bahnschrift" w:cs="Bahnschrift"/>
        <w:color w:val="5B5C6B"/>
        <w:sz w:val="15"/>
        <w:szCs w:val="15"/>
      </w:rPr>
      <w:tab/>
      <w:t>Dokument 6 · Unterrichtung des Betriebsrats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0"/>
        </w:tabs>
        <w:ind w:left="340" w:hanging="220"/>
      </w:pPr>
      <w:rPr>
        <w:rFonts w:ascii="Symbol" w:hAnsi="Symbol" w:cs="Symbol" w:hint="default"/>
        <w:color w:val="4A6A9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400" w:hanging="300"/>
      </w:pPr>
      <w:rPr>
        <w:b/>
        <w:bCs/>
        <w:color w:val="1E1D2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3"/>
    <w:lvlOverride w:ilvl="0">
      <w:startOverride w:val="1"/>
    </w:lvlOverride>
  </w:num>
</w:numbering>
</file>

<file path=word/settings.xml><?xml version="1.0" encoding="utf-8"?>
<w:settings xmlns:w="http://schemas.openxmlformats.org/wordprocessingml/2006/main">
  <w:zoom w:percent="220"/>
  <w:defaultTabStop w:val="720"/>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Bahnschrift" w:hAnsi="Bahnschrift" w:eastAsia="Bahnschrift" w:cs="Bahnschrift"/>
        <w:color w:val="23232F"/>
        <w:sz w:val="19"/>
        <w:szCs w:val="19"/>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Heading1">
    <w:name w:val="Heading 1"/>
    <w:basedOn w:val="berschrift"/>
    <w:qFormat/>
    <w:pPr>
      <w:keepNext w:val="true"/>
      <w:numPr>
        <w:ilvl w:val="0"/>
        <w:numId w:val="0"/>
      </w:numPr>
      <w:spacing w:before="0" w:after="200"/>
      <w:outlineLvl w:val="0"/>
    </w:pPr>
    <w:rPr>
      <w:rFonts w:ascii="Bahnschrift" w:hAnsi="Bahnschrift" w:eastAsia="Bahnschrift" w:cs="Bahnschrift"/>
      <w:b/>
      <w:bCs/>
      <w:color w:val="1E1D2D"/>
      <w:sz w:val="40"/>
      <w:szCs w:val="40"/>
    </w:rPr>
  </w:style>
  <w:style w:type="paragraph" w:styleId="Heading2">
    <w:name w:val="Heading 2"/>
    <w:basedOn w:val="berschrift"/>
    <w:qFormat/>
    <w:pPr>
      <w:keepNext w:val="true"/>
      <w:numPr>
        <w:ilvl w:val="0"/>
        <w:numId w:val="0"/>
      </w:numPr>
      <w:spacing w:before="320" w:after="120"/>
      <w:outlineLvl w:val="1"/>
    </w:pPr>
    <w:rPr>
      <w:rFonts w:ascii="Bahnschrift" w:hAnsi="Bahnschrift" w:eastAsia="Bahnschrift" w:cs="Bahnschrift"/>
      <w:b/>
      <w:bCs/>
      <w:color w:val="1E1D2D"/>
      <w:sz w:val="28"/>
      <w:szCs w:val="28"/>
    </w:rPr>
  </w:style>
  <w:style w:type="paragraph" w:styleId="Heading3">
    <w:name w:val="Heading 3"/>
    <w:basedOn w:val="berschrift"/>
    <w:qFormat/>
    <w:pPr>
      <w:keepNext w:val="true"/>
      <w:numPr>
        <w:ilvl w:val="0"/>
        <w:numId w:val="0"/>
      </w:numPr>
      <w:spacing w:before="220" w:after="90"/>
      <w:outlineLvl w:val="2"/>
    </w:pPr>
    <w:rPr>
      <w:rFonts w:ascii="Bahnschrift" w:hAnsi="Bahnschrift" w:eastAsia="Bahnschrift" w:cs="Bahnschrift"/>
      <w:b/>
      <w:bCs/>
      <w:color w:val="1E1D2D"/>
      <w:sz w:val="23"/>
      <w:szCs w:val="23"/>
    </w:rPr>
  </w:style>
  <w:style w:type="paragraph" w:styleId="Heading4">
    <w:name w:val="Heading 4"/>
    <w:basedOn w:val="berschrift"/>
    <w:qFormat/>
    <w:pPr>
      <w:keepNext w:val="true"/>
      <w:numPr>
        <w:ilvl w:val="0"/>
        <w:numId w:val="0"/>
      </w:numPr>
      <w:spacing w:before="160" w:after="60"/>
      <w:outlineLvl w:val="3"/>
    </w:pPr>
    <w:rPr>
      <w:rFonts w:ascii="Bahnschrift" w:hAnsi="Bahnschrift" w:eastAsia="Bahnschrift" w:cs="Bahnschrift"/>
      <w:b/>
      <w:bCs/>
      <w:color w:val="4A6A94"/>
      <w:sz w:val="20"/>
      <w:szCs w:val="20"/>
    </w:rPr>
  </w:style>
  <w:style w:type="paragraph" w:styleId="Heading5">
    <w:name w:val="Heading 5"/>
    <w:basedOn w:val="berschrift"/>
    <w:qFormat/>
    <w:pPr/>
    <w:rPr>
      <w:color w:val="2E74B5"/>
    </w:rPr>
  </w:style>
  <w:style w:type="paragraph" w:styleId="Heading6">
    <w:name w:val="Heading 6"/>
    <w:basedOn w:val="berschrift"/>
    <w:qFormat/>
    <w:pPr/>
    <w:rPr>
      <w:color w:val="1F4D78"/>
    </w:rPr>
  </w:style>
  <w:style w:type="character" w:styleId="Hyperlink">
    <w:name w:val="Hyperlink"/>
    <w:rPr>
      <w:color w:val="0563C1"/>
      <w:u w:val="single"/>
    </w:rPr>
  </w:style>
  <w:style w:type="character" w:styleId="Funotenzeichen">
    <w:name w:val="Fußnotenzeichen"/>
    <w:qFormat/>
    <w:rPr>
      <w:vertAlign w:val="superscript"/>
    </w:rPr>
  </w:style>
  <w:style w:type="character" w:styleId="FootnoteReference">
    <w:name w:val="Footnote Reference"/>
    <w:rPr>
      <w:vertAlign w:val="superscript"/>
    </w:rPr>
  </w:style>
  <w:style w:type="character" w:styleId="FootnoteTextChar">
    <w:name w:val="Footnote Text Char"/>
    <w:qFormat/>
    <w:rPr>
      <w:sz w:val="20"/>
      <w:szCs w:val="20"/>
    </w:rPr>
  </w:style>
  <w:style w:type="character" w:styleId="Endnotenzeichen">
    <w:name w:val="Endnotenzeichen"/>
    <w:qFormat/>
    <w:rPr>
      <w:vertAlign w:val="superscript"/>
    </w:rPr>
  </w:style>
  <w:style w:type="character" w:styleId="EndnoteReference">
    <w:name w:val="Endnote Reference"/>
    <w:rPr>
      <w:vertAlign w:val="superscript"/>
    </w:rPr>
  </w:style>
  <w:style w:type="character" w:styleId="EndnoteTextChar">
    <w:name w:val="Endnote Text Char"/>
    <w:link w:val="EndnoteText"/>
    <w:qFormat/>
    <w:rPr>
      <w:sz w:val="20"/>
      <w:szCs w:val="20"/>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FreeSans"/>
    </w:rPr>
  </w:style>
  <w:style w:type="paragraph" w:styleId="Title">
    <w:name w:val="Title"/>
    <w:basedOn w:val="berschrift"/>
    <w:qFormat/>
    <w:pPr/>
    <w:rPr>
      <w:sz w:val="56"/>
      <w:szCs w:val="56"/>
    </w:rPr>
  </w:style>
  <w:style w:type="paragraph" w:styleId="StrongEmphasis">
    <w:name w:val="Strong Emphasis"/>
    <w:qFormat/>
    <w:pPr>
      <w:widowControl w:val="false"/>
      <w:kinsoku w:val="true"/>
      <w:overflowPunct w:val="true"/>
      <w:autoSpaceDE w:val="true"/>
      <w:bidi w:val="0"/>
    </w:pPr>
    <w:rPr>
      <w:rFonts w:ascii="Bahnschrift" w:hAnsi="Bahnschrift" w:eastAsia="Bahnschrift" w:cs="Bahnschrift"/>
      <w:b/>
      <w:bCs/>
      <w:color w:val="23232F"/>
      <w:kern w:val="0"/>
      <w:sz w:val="19"/>
      <w:szCs w:val="19"/>
      <w:lang w:val="de-DE" w:eastAsia="zh-CN" w:bidi="hi-IN"/>
    </w:rPr>
  </w:style>
  <w:style w:type="paragraph" w:styleId="ListParagraph">
    <w:name w:val="List Paragraph"/>
    <w:qFormat/>
    <w:pPr>
      <w:widowControl w:val="false"/>
      <w:kinsoku w:val="true"/>
      <w:overflowPunct w:val="true"/>
      <w:autoSpaceDE w:val="true"/>
      <w:bidi w:val="0"/>
    </w:pPr>
    <w:rPr>
      <w:rFonts w:ascii="Bahnschrift" w:hAnsi="Bahnschrift" w:eastAsia="Bahnschrift" w:cs="Bahnschrift"/>
      <w:color w:val="23232F"/>
      <w:kern w:val="0"/>
      <w:sz w:val="19"/>
      <w:szCs w:val="19"/>
      <w:lang w:val="de-DE" w:eastAsia="zh-CN" w:bidi="hi-IN"/>
    </w:rPr>
  </w:style>
  <w:style w:type="paragraph" w:styleId="FootnoteText">
    <w:name w:val="Footnote Text"/>
    <w:basedOn w:val="Normal"/>
    <w:link w:val="FootnoteTextChar"/>
    <w:pPr>
      <w:spacing w:lineRule="auto" w:line="240" w:before="0" w:after="0"/>
    </w:pPr>
    <w:rPr>
      <w:sz w:val="20"/>
      <w:szCs w:val="20"/>
    </w:rPr>
  </w:style>
  <w:style w:type="paragraph" w:styleId="EndnoteText">
    <w:name w:val="Endnote Text"/>
    <w:basedOn w:val="Normal"/>
    <w:link w:val="EndnoteTextChar"/>
    <w:pPr>
      <w:spacing w:lineRule="auto" w:line="240" w:before="0" w:after="0"/>
    </w:pPr>
    <w:rPr>
      <w:sz w:val="20"/>
      <w:szCs w:val="20"/>
    </w:rPr>
  </w:style>
  <w:style w:type="paragraph" w:styleId="Kopf-Fuzeile">
    <w:name w:val="Kopf-/Fußzeile"/>
    <w:basedOn w:val="Normal"/>
    <w:qFormat/>
    <w:pPr/>
    <w:rPr/>
  </w:style>
  <w:style w:type="paragraph" w:styleId="Header">
    <w:name w:val="Header"/>
    <w:basedOn w:val="Kopf-Fuzeile"/>
    <w:pPr/>
    <w:rPr/>
  </w:style>
  <w:style w:type="paragraph" w:styleId="Footer">
    <w:name w:val="Footer"/>
    <w:basedOn w:val="Kopf-Fuzeile"/>
    <w:pPr/>
    <w:rPr/>
  </w:style>
  <w:style w:type="paragraph" w:styleId="Tabelleninhalt">
    <w:name w:val="Tabelleninhalt"/>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26</TotalTime>
  <Application>LibreOffice/24.2.7.2$Linux_X86_64 LibreOffice_project/420$Build-2</Application>
  <AppVersion>15.0000</AppVersion>
  <Pages>136</Pages>
  <Words>45808</Words>
  <Characters>314707</Characters>
  <CharactersWithSpaces>356320</CharactersWithSpaces>
  <Paragraphs>4805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2026-10-05T10:41:07Z</dcterms:created>
  <dc:creator>AMNAU GmbH</dc:creator>
  <dc:description>Version 1.0 · Stand 2026-10-05 · Produktstand WORKSPACE.PM 2.0.9</dc:description>
  <cp:keywords>WORKSPACE.PM KI Compliance DSGVO KI-Verordnung BetrVG</cp:keywords>
  <dc:language>de-DE</dc:language>
  <cp:lastModifiedBy/>
  <dcterms:modified xsi:type="dcterms:W3CDTF">2026-10-09T12:11:35Z</dcterms:modified>
  <cp:revision>7</cp:revision>
  <dc:subject>Künstliche Intelligenz in WORKSPACE.PM: Transparenz- und Compliance-Dokumentation</dc:subject>
  <dc:title>Unterrichtung des Betriebsrats über geplante KI-Funktionen in WORKSPACE.PM</dc:title>
</cp:coreProperties>
</file>