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_rels/header1.xml.rels" ContentType="application/vnd.openxmlformats-package.relationships+xml"/>
  <Override PartName="/word/_rels/document.xml.rels" ContentType="application/vnd.openxmlformats-package.relationships+xml"/>
  <Override PartName="/word/media/image1.png" ContentType="image/png"/>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60"/>
        <w:rPr>
          <w:rFonts w:ascii="Bahnschrift" w:hAnsi="Bahnschrift" w:eastAsia="Bahnschrift" w:cs="Bahnschrift"/>
          <w:b/>
          <w:bCs/>
          <w:color w:val="4A6A94"/>
          <w:spacing w:val="30"/>
          <w:sz w:val="18"/>
          <w:szCs w:val="18"/>
        </w:rPr>
      </w:pPr>
      <w:r>
        <w:rPr>
          <w:rFonts w:eastAsia="Bahnschrift" w:cs="Bahnschrift"/>
          <w:b/>
          <w:bCs/>
          <w:color w:val="4A6A94"/>
          <w:spacing w:val="30"/>
          <w:sz w:val="18"/>
          <w:szCs w:val="18"/>
        </w:rPr>
        <w:t>DOKUMENT 5</w:t>
      </w:r>
    </w:p>
    <w:p>
      <w:pPr>
        <w:pStyle w:val="Heading1"/>
        <w:keepNext w:val="true"/>
        <w:rPr>
          <w:rFonts w:ascii="Bahnschrift" w:hAnsi="Bahnschrift" w:eastAsia="Bahnschrift" w:cs="Bahnschrift"/>
          <w:b/>
          <w:bCs/>
          <w:color w:val="1E1D2D"/>
          <w:sz w:val="40"/>
          <w:szCs w:val="40"/>
        </w:rPr>
      </w:pPr>
      <w:bookmarkStart w:id="0" w:name="h147"/>
      <w:r>
        <w:rPr>
          <w:rFonts w:eastAsia="Bahnschrift" w:cs="Bahnschrift" w:ascii="Bahnschrift" w:hAnsi="Bahnschrift"/>
          <w:b/>
          <w:bCs/>
          <w:color w:val="1E1D2D"/>
          <w:sz w:val="40"/>
          <w:szCs w:val="40"/>
        </w:rPr>
        <w:t>Muster-Betriebsvereinbarung: Einsatz von KI-Funktionen in WORKSPACE.PM</w:t>
      </w:r>
      <w:bookmarkEnd w:id="0"/>
    </w:p>
    <w:tbl>
      <w:tblPr>
        <w:tblW w:w="9070" w:type="dxa"/>
        <w:jc w:val="left"/>
        <w:tblInd w:w="0" w:type="dxa"/>
        <w:tblLayout w:type="fixed"/>
        <w:tblCellMar>
          <w:top w:w="100" w:type="dxa"/>
          <w:left w:w="180" w:type="dxa"/>
          <w:bottom w:w="60" w:type="dxa"/>
          <w:right w:w="160" w:type="dxa"/>
        </w:tblCellMar>
      </w:tblPr>
      <w:tblGrid>
        <w:gridCol w:w="9070"/>
      </w:tblGrid>
      <w:tr>
        <w:trPr/>
        <w:tc>
          <w:tcPr>
            <w:tcW w:w="9070" w:type="dxa"/>
            <w:tcBorders>
              <w:left w:val="single" w:sz="18" w:space="0" w:color="1E1D2D"/>
            </w:tcBorders>
            <w:shd w:fill="EEF3F9" w:val="clear"/>
          </w:tcPr>
          <w:p>
            <w:pPr>
              <w:pStyle w:val="Normal"/>
              <w:spacing w:lineRule="auto" w:line="264" w:before="0" w:after="110"/>
              <w:rPr>
                <w:rFonts w:ascii="Bahnschrift" w:hAnsi="Bahnschrift" w:eastAsia="Bahnschrift" w:cs="Bahnschrift"/>
                <w:b/>
                <w:bCs/>
                <w:sz w:val="19"/>
                <w:szCs w:val="19"/>
              </w:rPr>
            </w:pPr>
            <w:r>
              <w:rPr>
                <w:rFonts w:eastAsia="Bahnschrift" w:cs="Bahnschrift"/>
                <w:b/>
                <w:bCs/>
                <w:sz w:val="19"/>
                <w:szCs w:val="19"/>
              </w:rPr>
              <w:t>Vorlage zur Anpassung, keine Rechtsberatung.</w:t>
            </w:r>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Dieses Muster ist ein Formulierungsvorschlag auf Grundlage der tatsächlichen Funktionsweise von WORKSPACE.PM. Es ersetzt weder die anwaltliche Prüfung noch die Verhandlung zwischen den Betriebsparteien. Platzhalter in eckigen Klammern sind zu ersetzen, nicht zutreffende Regelungen zu streichen.</w:t>
            </w:r>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Die Beschreibungen der Funktionen von WORKSPACE.PM geben den Stand zum angegebenen Datum wieder; vor der Verwendung mit der aktuellen Fassung der Referenzdokumentation abgleichen.</w:t>
            </w:r>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Herausgeber der Vorlage: AMNAU GmbH (Hersteller von WORKSPACE.PM) · Stand: 2026-10-05 · Version 1.0</w:t>
            </w:r>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Hinweise zur Verwendung stehen am Ende des Dokuments. Sie zeigen, welche Regelungen eine Eigenschaft des Produkts abbilden, welche organisatorisch geleistet werden müssen und welche frei verhandelbar sind.</w:t>
            </w:r>
          </w:p>
        </w:tc>
      </w:tr>
    </w:tbl>
    <w:p>
      <w:pPr>
        <w:pStyle w:val="Normal"/>
        <w:spacing w:lineRule="auto" w:line="120" w:before="0" w:after="160"/>
        <w:rPr/>
      </w:pPr>
      <w:r>
        <w:rPr/>
      </w:r>
    </w:p>
    <w:p>
      <w:pPr>
        <w:pStyle w:val="Normal"/>
        <w:spacing w:before="0" w:after="120"/>
        <w:rPr/>
      </w:pPr>
      <w:r>
        <w:rPr/>
      </w:r>
    </w:p>
    <w:p>
      <w:pPr>
        <w:pStyle w:val="Heading2"/>
        <w:keepNext w:val="true"/>
        <w:jc w:val="center"/>
        <w:rPr>
          <w:rFonts w:ascii="Bahnschrift" w:hAnsi="Bahnschrift" w:eastAsia="Bahnschrift" w:cs="Bahnschrift"/>
          <w:b/>
          <w:bCs/>
          <w:color w:val="1E1D2D"/>
          <w:sz w:val="28"/>
          <w:szCs w:val="28"/>
        </w:rPr>
      </w:pPr>
      <w:bookmarkStart w:id="1" w:name="h148"/>
      <w:r>
        <w:rPr>
          <w:rFonts w:eastAsia="Bahnschrift" w:cs="Bahnschrift" w:ascii="Bahnschrift" w:hAnsi="Bahnschrift"/>
          <w:b/>
          <w:bCs/>
          <w:color w:val="1E1D2D"/>
          <w:sz w:val="28"/>
          <w:szCs w:val="28"/>
        </w:rPr>
        <w:t>Betriebsvereinbarung</w:t>
      </w:r>
      <w:bookmarkEnd w:id="1"/>
    </w:p>
    <w:p>
      <w:pPr>
        <w:pStyle w:val="Normal"/>
        <w:spacing w:lineRule="auto" w:line="264" w:before="0" w:after="240"/>
        <w:jc w:val="center"/>
        <w:rPr>
          <w:rFonts w:ascii="Bahnschrift" w:hAnsi="Bahnschrift" w:eastAsia="Bahnschrift" w:cs="Bahnschrift"/>
          <w:b/>
          <w:bCs/>
          <w:color w:val="1E1D2D"/>
          <w:sz w:val="24"/>
          <w:szCs w:val="24"/>
        </w:rPr>
      </w:pPr>
      <w:r>
        <w:rPr>
          <w:rFonts w:eastAsia="Bahnschrift" w:cs="Bahnschrift"/>
          <w:b/>
          <w:bCs/>
          <w:color w:val="1E1D2D"/>
          <w:sz w:val="24"/>
          <w:szCs w:val="24"/>
        </w:rPr>
        <w:t>über den Einsatz von KI-Funktionen in WORKSPACE.PM</w:t>
      </w:r>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zwischen</w:t>
      </w:r>
    </w:p>
    <w:p>
      <w:pPr>
        <w:pStyle w:val="Normal"/>
        <w:spacing w:lineRule="auto" w:line="264" w:before="0" w:after="110"/>
        <w:rPr/>
      </w:pPr>
      <w:r>
        <w:rPr>
          <w:rFonts w:eastAsia="Bahnschrift" w:cs="Bahnschrift"/>
          <w:b/>
          <w:bCs/>
          <w:sz w:val="19"/>
          <w:szCs w:val="19"/>
        </w:rPr>
        <w:t>[Unternehmen]</w:t>
      </w:r>
      <w:r>
        <w:rPr>
          <w:rFonts w:eastAsia="Bahnschrift" w:cs="Bahnschrift"/>
          <w:sz w:val="19"/>
          <w:szCs w:val="19"/>
        </w:rPr>
        <w:t>, vertreten durch [Geschäftsführung], nachfolgend „Arbeitgeber“,</w:t>
      </w:r>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und</w:t>
      </w:r>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dem Betriebsrat der [Unternehmen], vertreten durch [den Vorsitzenden / die Vorsitzende], nachfolgend „Betriebsrat“,</w:t>
      </w:r>
    </w:p>
    <w:p>
      <w:pPr>
        <w:pStyle w:val="Normal"/>
        <w:spacing w:before="0" w:after="120"/>
        <w:rPr/>
      </w:pPr>
      <w:r>
        <w:rPr/>
      </w:r>
    </w:p>
    <w:p>
      <w:pPr>
        <w:pStyle w:val="Heading3"/>
        <w:keepNext w:val="true"/>
        <w:rPr>
          <w:rFonts w:ascii="Bahnschrift" w:hAnsi="Bahnschrift" w:eastAsia="Bahnschrift" w:cs="Bahnschrift"/>
          <w:b/>
          <w:bCs/>
          <w:color w:val="1E1D2D"/>
          <w:sz w:val="23"/>
          <w:szCs w:val="23"/>
        </w:rPr>
      </w:pPr>
      <w:bookmarkStart w:id="2" w:name="h149"/>
      <w:r>
        <w:rPr>
          <w:rFonts w:eastAsia="Bahnschrift" w:cs="Bahnschrift" w:ascii="Bahnschrift" w:hAnsi="Bahnschrift"/>
          <w:b/>
          <w:bCs/>
          <w:color w:val="1E1D2D"/>
          <w:sz w:val="23"/>
          <w:szCs w:val="23"/>
        </w:rPr>
        <w:t>Präambel</w:t>
      </w:r>
      <w:bookmarkEnd w:id="2"/>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Der Arbeitgeber setzt die Projektmanagement-Software WORKSPACE.PM ein. Diese enthält optionale Funktionen, die ein Sprachmodell (KI) nutzen: einen Chat-Assistenten, Funktionen zur Erzeugung von Vorschlägen sowie eine Schnittstelle, über die externe KI-Anwendungen auf die Daten zugreifen können.</w:t>
      </w:r>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Diese Funktionen sind geeignet, Verhalten und Leistung der Beschäftigten auswertbar zu machen. Die Betriebsparteien sind sich einig, dass eine solche Auswertung nicht stattfinden soll. Sie schließen diese Vereinbarung nach § 87 Absatz 1 Nummer 6 BetrVG, um die Nutzung der Funktionen zu ermöglichen und zugleich die Persönlichkeitsrechte der Beschäftigten zu wahren.</w:t>
      </w:r>
    </w:p>
    <w:p>
      <w:pPr>
        <w:pStyle w:val="Normal"/>
        <w:spacing w:before="0" w:after="120"/>
        <w:rPr/>
      </w:pPr>
      <w:r>
        <w:rPr/>
      </w:r>
    </w:p>
    <w:p>
      <w:pPr>
        <w:pStyle w:val="Heading3"/>
        <w:keepNext w:val="true"/>
        <w:rPr>
          <w:rFonts w:ascii="Bahnschrift" w:hAnsi="Bahnschrift" w:eastAsia="Bahnschrift" w:cs="Bahnschrift"/>
          <w:b/>
          <w:bCs/>
          <w:color w:val="1E1D2D"/>
          <w:sz w:val="23"/>
          <w:szCs w:val="23"/>
        </w:rPr>
      </w:pPr>
      <w:bookmarkStart w:id="3" w:name="h150"/>
      <w:r>
        <w:rPr>
          <w:rFonts w:eastAsia="Bahnschrift" w:cs="Bahnschrift" w:ascii="Bahnschrift" w:hAnsi="Bahnschrift"/>
          <w:b/>
          <w:bCs/>
          <w:color w:val="1E1D2D"/>
          <w:sz w:val="23"/>
          <w:szCs w:val="23"/>
        </w:rPr>
        <w:t>§ 1 Geltungsbereich</w:t>
      </w:r>
      <w:bookmarkEnd w:id="3"/>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(1) Diese Vereinbarung gilt räumlich für [Betrieb / Unternehmen], persönlich für alle Beschäftigten im Sinne des § 5 BetrVG einschließlich der zu ihrer Berufsausbildung Beschäftigten sowie für überlassene Arbeitnehmer.</w:t>
      </w:r>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(2) Sie gilt sachlich für sämtliche KI-Funktionen in WORKSPACE.PM einschließlich der Schnittstelle für externe KI-Anwendungen.</w:t>
      </w:r>
    </w:p>
    <w:p>
      <w:pPr>
        <w:pStyle w:val="Normal"/>
        <w:spacing w:lineRule="auto" w:line="264" w:before="0" w:after="110"/>
        <w:rPr/>
      </w:pPr>
      <w:r>
        <w:rPr>
          <w:rFonts w:eastAsia="Bahnschrift" w:cs="Bahnschrift"/>
          <w:sz w:val="19"/>
          <w:szCs w:val="19"/>
        </w:rPr>
        <w:t>(3) Leitende Angestellte im Sinne des § 5 Absatz 3 BetrVG werden von dieser Vereinbarung nicht erfasst. [Streichen, sofern nicht einschlägig.]</w:t>
      </w:r>
    </w:p>
    <w:p>
      <w:pPr>
        <w:pStyle w:val="Heading3"/>
        <w:keepNext w:val="true"/>
        <w:rPr>
          <w:rFonts w:ascii="Bahnschrift" w:hAnsi="Bahnschrift" w:eastAsia="Bahnschrift" w:cs="Bahnschrift"/>
          <w:b/>
          <w:bCs/>
          <w:color w:val="1E1D2D"/>
          <w:sz w:val="23"/>
          <w:szCs w:val="23"/>
        </w:rPr>
      </w:pPr>
      <w:bookmarkStart w:id="4" w:name="h151"/>
      <w:r>
        <w:rPr>
          <w:rFonts w:eastAsia="Bahnschrift" w:cs="Bahnschrift" w:ascii="Bahnschrift" w:hAnsi="Bahnschrift"/>
          <w:b/>
          <w:bCs/>
          <w:color w:val="1E1D2D"/>
          <w:sz w:val="23"/>
          <w:szCs w:val="23"/>
        </w:rPr>
        <w:t>§ 2 Gegenstand</w:t>
      </w:r>
      <w:bookmarkEnd w:id="4"/>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(1) Gegenstand dieser Vereinbarung sind Einführung, Ausgestaltung und Nutzung der KI-Funktionen in WORKSPACE.PM sowie der Umgang mit den dabei entstehenden Daten.</w:t>
      </w:r>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(2) Die technische Ausgestaltung im Zeitpunkt des Abschlusses ergibt sich aus Anlage 1. Die zugelassenen KI-Anbieter und externen KI-Anwendungen ergeben sich aus Anlage 2.</w:t>
      </w:r>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(3) Nicht Gegenstand dieser Vereinbarung ist der Einsatz von WORKSPACE.PM im Übrigen; insoweit gilt [Betriebsvereinbarung … vom …].</w:t>
      </w:r>
    </w:p>
    <w:p>
      <w:pPr>
        <w:pStyle w:val="Heading3"/>
        <w:keepNext w:val="true"/>
        <w:rPr>
          <w:rFonts w:ascii="Bahnschrift" w:hAnsi="Bahnschrift" w:eastAsia="Bahnschrift" w:cs="Bahnschrift"/>
          <w:b/>
          <w:bCs/>
          <w:color w:val="1E1D2D"/>
          <w:sz w:val="23"/>
          <w:szCs w:val="23"/>
        </w:rPr>
      </w:pPr>
      <w:bookmarkStart w:id="5" w:name="h152"/>
      <w:r>
        <w:rPr>
          <w:rFonts w:eastAsia="Bahnschrift" w:cs="Bahnschrift" w:ascii="Bahnschrift" w:hAnsi="Bahnschrift"/>
          <w:b/>
          <w:bCs/>
          <w:color w:val="1E1D2D"/>
          <w:sz w:val="23"/>
          <w:szCs w:val="23"/>
        </w:rPr>
        <w:t>§ 3 Begriffe</w:t>
      </w:r>
      <w:bookmarkEnd w:id="5"/>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Im Sinne dieser Vereinbarung bezeichnet</w:t>
      </w:r>
    </w:p>
    <w:p>
      <w:pPr>
        <w:pStyle w:val="ListParagraph"/>
        <w:numPr>
          <w:ilvl w:val="0"/>
          <w:numId w:val="12"/>
        </w:numPr>
        <w:spacing w:lineRule="auto" w:line="264" w:before="0" w:after="60"/>
        <w:rPr/>
      </w:pPr>
      <w:r>
        <w:rPr>
          <w:rFonts w:eastAsia="Bahnschrift" w:cs="Bahnschrift"/>
          <w:b/>
          <w:bCs/>
          <w:sz w:val="19"/>
          <w:szCs w:val="19"/>
        </w:rPr>
        <w:t>KI-Funktion</w:t>
      </w:r>
      <w:r>
        <w:rPr>
          <w:rFonts w:eastAsia="Bahnschrift" w:cs="Bahnschrift"/>
          <w:sz w:val="19"/>
          <w:szCs w:val="19"/>
        </w:rPr>
        <w:t xml:space="preserve"> jede Funktion, die zu ihrer Ausführung ein Sprachmodell aufruft, sowie die Schnittstelle für externe KI-Anwendungen,</w:t>
      </w:r>
    </w:p>
    <w:p>
      <w:pPr>
        <w:pStyle w:val="ListParagraph"/>
        <w:numPr>
          <w:ilvl w:val="0"/>
          <w:numId w:val="2"/>
        </w:numPr>
        <w:spacing w:lineRule="auto" w:line="264" w:before="0" w:after="60"/>
        <w:rPr/>
      </w:pPr>
      <w:r>
        <w:rPr>
          <w:rFonts w:eastAsia="Bahnschrift" w:cs="Bahnschrift"/>
          <w:b/>
          <w:bCs/>
          <w:sz w:val="19"/>
          <w:szCs w:val="19"/>
        </w:rPr>
        <w:t>Assistent</w:t>
      </w:r>
      <w:r>
        <w:rPr>
          <w:rFonts w:eastAsia="Bahnschrift" w:cs="Bahnschrift"/>
          <w:sz w:val="19"/>
          <w:szCs w:val="19"/>
        </w:rPr>
        <w:t xml:space="preserve"> die in WORKSPACE.PM eingebaute Chat-Oberfläche,</w:t>
      </w:r>
    </w:p>
    <w:p>
      <w:pPr>
        <w:pStyle w:val="ListParagraph"/>
        <w:numPr>
          <w:ilvl w:val="0"/>
          <w:numId w:val="2"/>
        </w:numPr>
        <w:spacing w:lineRule="auto" w:line="264" w:before="0" w:after="60"/>
        <w:rPr/>
      </w:pPr>
      <w:r>
        <w:rPr>
          <w:rFonts w:eastAsia="Bahnschrift" w:cs="Bahnschrift"/>
          <w:b/>
          <w:bCs/>
          <w:sz w:val="19"/>
          <w:szCs w:val="19"/>
        </w:rPr>
        <w:t>externe KI-Anwendung</w:t>
      </w:r>
      <w:r>
        <w:rPr>
          <w:rFonts w:eastAsia="Bahnschrift" w:cs="Bahnschrift"/>
          <w:sz w:val="19"/>
          <w:szCs w:val="19"/>
        </w:rPr>
        <w:t xml:space="preserve"> eine Anwendung außerhalb von WORKSPACE.PM, die über die Schnittstelle auf dessen Daten zugreift,</w:t>
      </w:r>
    </w:p>
    <w:p>
      <w:pPr>
        <w:pStyle w:val="ListParagraph"/>
        <w:numPr>
          <w:ilvl w:val="0"/>
          <w:numId w:val="2"/>
        </w:numPr>
        <w:spacing w:lineRule="auto" w:line="264" w:before="0" w:after="60"/>
        <w:rPr/>
      </w:pPr>
      <w:r>
        <w:rPr>
          <w:rFonts w:eastAsia="Bahnschrift" w:cs="Bahnschrift"/>
          <w:b/>
          <w:bCs/>
          <w:sz w:val="19"/>
          <w:szCs w:val="19"/>
        </w:rPr>
        <w:t>Gesprächsverlauf</w:t>
      </w:r>
      <w:r>
        <w:rPr>
          <w:rFonts w:eastAsia="Bahnschrift" w:cs="Bahnschrift"/>
          <w:sz w:val="19"/>
          <w:szCs w:val="19"/>
        </w:rPr>
        <w:t xml:space="preserve"> die vom Assistenten gespeicherte Abfolge von Eingaben, Antworten und Datenabrufen einschließlich deren Ergebnissen, auch aus der Nutzung über Microsoft Teams,</w:t>
      </w:r>
    </w:p>
    <w:p>
      <w:pPr>
        <w:pStyle w:val="ListParagraph"/>
        <w:numPr>
          <w:ilvl w:val="0"/>
          <w:numId w:val="2"/>
        </w:numPr>
        <w:spacing w:lineRule="auto" w:line="264" w:before="0" w:after="60"/>
        <w:rPr/>
      </w:pPr>
      <w:r>
        <w:rPr>
          <w:rFonts w:eastAsia="Bahnschrift" w:cs="Bahnschrift"/>
          <w:b/>
          <w:bCs/>
          <w:sz w:val="19"/>
          <w:szCs w:val="19"/>
        </w:rPr>
        <w:t>Protokolldaten</w:t>
      </w:r>
      <w:r>
        <w:rPr>
          <w:rFonts w:eastAsia="Bahnschrift" w:cs="Bahnschrift"/>
          <w:sz w:val="19"/>
          <w:szCs w:val="19"/>
        </w:rPr>
        <w:t xml:space="preserve"> die in § 10 genannten Aufzeichnungen.</w:t>
      </w:r>
    </w:p>
    <w:p>
      <w:pPr>
        <w:pStyle w:val="Normal"/>
        <w:spacing w:lineRule="auto" w:line="120" w:before="0" w:after="60"/>
        <w:rPr/>
      </w:pPr>
      <w:r>
        <w:rPr/>
      </w:r>
    </w:p>
    <w:p>
      <w:pPr>
        <w:pStyle w:val="Heading3"/>
        <w:keepNext w:val="true"/>
        <w:rPr>
          <w:rFonts w:ascii="Bahnschrift" w:hAnsi="Bahnschrift" w:eastAsia="Bahnschrift" w:cs="Bahnschrift"/>
          <w:b/>
          <w:bCs/>
          <w:color w:val="1E1D2D"/>
          <w:sz w:val="23"/>
          <w:szCs w:val="23"/>
        </w:rPr>
      </w:pPr>
      <w:bookmarkStart w:id="6" w:name="h153"/>
      <w:r>
        <w:rPr>
          <w:rFonts w:eastAsia="Bahnschrift" w:cs="Bahnschrift" w:ascii="Bahnschrift" w:hAnsi="Bahnschrift"/>
          <w:b/>
          <w:bCs/>
          <w:color w:val="1E1D2D"/>
          <w:sz w:val="23"/>
          <w:szCs w:val="23"/>
        </w:rPr>
        <w:t>§ 4 Zweckbestimmung</w:t>
      </w:r>
      <w:bookmarkEnd w:id="6"/>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(1) Die KI-Funktionen dienen ausschließlich der Unterstützung der Beschäftigten bei ihrer Projektarbeit, namentlich</w:t>
      </w:r>
    </w:p>
    <w:p>
      <w:pPr>
        <w:pStyle w:val="ListParagraph"/>
        <w:numPr>
          <w:ilvl w:val="0"/>
          <w:numId w:val="13"/>
        </w:numPr>
        <w:spacing w:lineRule="auto" w:line="264" w:before="0" w:after="60"/>
        <w:rPr>
          <w:rFonts w:ascii="Bahnschrift" w:hAnsi="Bahnschrift" w:eastAsia="Bahnschrift" w:cs="Bahnschrift"/>
          <w:sz w:val="19"/>
          <w:szCs w:val="19"/>
        </w:rPr>
      </w:pPr>
      <w:r>
        <w:rPr>
          <w:rFonts w:eastAsia="Bahnschrift" w:cs="Bahnschrift"/>
          <w:sz w:val="19"/>
          <w:szCs w:val="19"/>
        </w:rPr>
        <w:t>dem Auffinden und Zusammenfassen von Informationen aus den Daten, auf die die jeweilige Person ohnehin zugreifen darf,</w:t>
      </w:r>
    </w:p>
    <w:p>
      <w:pPr>
        <w:pStyle w:val="ListParagraph"/>
        <w:numPr>
          <w:ilvl w:val="0"/>
          <w:numId w:val="14"/>
        </w:numPr>
        <w:spacing w:lineRule="auto" w:line="264" w:before="0" w:after="60"/>
        <w:rPr>
          <w:rFonts w:ascii="Bahnschrift" w:hAnsi="Bahnschrift" w:eastAsia="Bahnschrift" w:cs="Bahnschrift"/>
          <w:sz w:val="19"/>
          <w:szCs w:val="19"/>
        </w:rPr>
      </w:pPr>
      <w:r>
        <w:rPr>
          <w:rFonts w:eastAsia="Bahnschrift" w:cs="Bahnschrift"/>
          <w:sz w:val="19"/>
          <w:szCs w:val="19"/>
        </w:rPr>
        <w:t>dem Entwurf von Texten wie Projektbeschreibungen, Zielen, Wiki-Inhalten und Beiträgen,</w:t>
      </w:r>
    </w:p>
    <w:p>
      <w:pPr>
        <w:pStyle w:val="ListParagraph"/>
        <w:numPr>
          <w:ilvl w:val="0"/>
          <w:numId w:val="15"/>
        </w:numPr>
        <w:spacing w:lineRule="auto" w:line="264" w:before="0" w:after="60"/>
        <w:rPr>
          <w:rFonts w:ascii="Bahnschrift" w:hAnsi="Bahnschrift" w:eastAsia="Bahnschrift" w:cs="Bahnschrift"/>
          <w:sz w:val="19"/>
          <w:szCs w:val="19"/>
        </w:rPr>
      </w:pPr>
      <w:r>
        <w:rPr>
          <w:rFonts w:eastAsia="Bahnschrift" w:cs="Bahnschrift"/>
          <w:sz w:val="19"/>
          <w:szCs w:val="19"/>
        </w:rPr>
        <w:t>dem Vorschlag von Projektstrukturen, Risiken, Chancen und Maßnahmen,</w:t>
      </w:r>
    </w:p>
    <w:p>
      <w:pPr>
        <w:pStyle w:val="ListParagraph"/>
        <w:numPr>
          <w:ilvl w:val="0"/>
          <w:numId w:val="16"/>
        </w:numPr>
        <w:spacing w:lineRule="auto" w:line="264" w:before="0" w:after="60"/>
        <w:rPr>
          <w:rFonts w:ascii="Bahnschrift" w:hAnsi="Bahnschrift" w:eastAsia="Bahnschrift" w:cs="Bahnschrift"/>
          <w:sz w:val="19"/>
          <w:szCs w:val="19"/>
        </w:rPr>
      </w:pPr>
      <w:r>
        <w:rPr>
          <w:rFonts w:eastAsia="Bahnschrift" w:cs="Bahnschrift"/>
          <w:sz w:val="19"/>
          <w:szCs w:val="19"/>
        </w:rPr>
        <w:t>der Auswertung von Besprechungsprotokollen zur Übernahme von Ergebnissen und Aufgaben,</w:t>
      </w:r>
    </w:p>
    <w:p>
      <w:pPr>
        <w:pStyle w:val="ListParagraph"/>
        <w:numPr>
          <w:ilvl w:val="0"/>
          <w:numId w:val="17"/>
        </w:numPr>
        <w:spacing w:lineRule="auto" w:line="264" w:before="0" w:after="60"/>
        <w:rPr>
          <w:rFonts w:ascii="Bahnschrift" w:hAnsi="Bahnschrift" w:eastAsia="Bahnschrift" w:cs="Bahnschrift"/>
          <w:sz w:val="19"/>
          <w:szCs w:val="19"/>
        </w:rPr>
      </w:pPr>
      <w:r>
        <w:rPr>
          <w:rFonts w:eastAsia="Bahnschrift" w:cs="Bahnschrift"/>
          <w:sz w:val="19"/>
          <w:szCs w:val="19"/>
        </w:rPr>
        <w:t>dem Anlegen und Ändern von Daten, soweit dies nach § 8 und Anlage 1.3 zugelassen ist.</w:t>
      </w:r>
    </w:p>
    <w:p>
      <w:pPr>
        <w:pStyle w:val="Normal"/>
        <w:spacing w:lineRule="auto" w:line="120" w:before="0" w:after="60"/>
        <w:rPr/>
      </w:pPr>
      <w:r>
        <w:rPr/>
      </w:r>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(2) Eine Nutzung zu anderen Zwecken ist unzulässig.</w:t>
      </w:r>
    </w:p>
    <w:p>
      <w:pPr>
        <w:pStyle w:val="Heading3"/>
        <w:keepNext w:val="true"/>
        <w:rPr>
          <w:rFonts w:ascii="Bahnschrift" w:hAnsi="Bahnschrift" w:eastAsia="Bahnschrift" w:cs="Bahnschrift"/>
          <w:b/>
          <w:bCs/>
          <w:color w:val="1E1D2D"/>
          <w:sz w:val="23"/>
          <w:szCs w:val="23"/>
        </w:rPr>
      </w:pPr>
      <w:bookmarkStart w:id="7" w:name="h154"/>
      <w:r>
        <w:rPr>
          <w:rFonts w:eastAsia="Bahnschrift" w:cs="Bahnschrift" w:ascii="Bahnschrift" w:hAnsi="Bahnschrift"/>
          <w:b/>
          <w:bCs/>
          <w:color w:val="1E1D2D"/>
          <w:sz w:val="23"/>
          <w:szCs w:val="23"/>
        </w:rPr>
        <w:t>§ 5 Ausschluss der Leistungs- und Verhaltenskontrolle</w:t>
      </w:r>
      <w:bookmarkEnd w:id="7"/>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(1) Die KI-Funktionen werden nicht zur Überwachung oder Bewertung von Verhalten oder Leistung der Beschäftigten eingesetzt.</w:t>
      </w:r>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(2) Unzulässig sind insbesondere Auswertungen darüber,</w:t>
      </w:r>
    </w:p>
    <w:p>
      <w:pPr>
        <w:pStyle w:val="ListParagraph"/>
        <w:numPr>
          <w:ilvl w:val="0"/>
          <w:numId w:val="18"/>
        </w:numPr>
        <w:spacing w:lineRule="auto" w:line="264" w:before="0" w:after="60"/>
        <w:rPr>
          <w:rFonts w:ascii="Bahnschrift" w:hAnsi="Bahnschrift" w:eastAsia="Bahnschrift" w:cs="Bahnschrift"/>
          <w:sz w:val="19"/>
          <w:szCs w:val="19"/>
        </w:rPr>
      </w:pPr>
      <w:r>
        <w:rPr>
          <w:rFonts w:eastAsia="Bahnschrift" w:cs="Bahnschrift"/>
          <w:sz w:val="19"/>
          <w:szCs w:val="19"/>
        </w:rPr>
        <w:t>wer Aufgaben verspätet abschließt oder abgeschlossen hat,</w:t>
      </w:r>
    </w:p>
    <w:p>
      <w:pPr>
        <w:pStyle w:val="ListParagraph"/>
        <w:numPr>
          <w:ilvl w:val="0"/>
          <w:numId w:val="19"/>
        </w:numPr>
        <w:spacing w:lineRule="auto" w:line="264" w:before="0" w:after="60"/>
        <w:rPr>
          <w:rFonts w:ascii="Bahnschrift" w:hAnsi="Bahnschrift" w:eastAsia="Bahnschrift" w:cs="Bahnschrift"/>
          <w:sz w:val="19"/>
          <w:szCs w:val="19"/>
        </w:rPr>
      </w:pPr>
      <w:r>
        <w:rPr>
          <w:rFonts w:eastAsia="Bahnschrift" w:cs="Bahnschrift"/>
          <w:sz w:val="19"/>
          <w:szCs w:val="19"/>
        </w:rPr>
        <w:t>wie zuverlässig, schnell oder sorgfältig einzelne Personen arbeiten,</w:t>
      </w:r>
    </w:p>
    <w:p>
      <w:pPr>
        <w:pStyle w:val="ListParagraph"/>
        <w:numPr>
          <w:ilvl w:val="0"/>
          <w:numId w:val="20"/>
        </w:numPr>
        <w:spacing w:lineRule="auto" w:line="264" w:before="0" w:after="60"/>
        <w:rPr>
          <w:rFonts w:ascii="Bahnschrift" w:hAnsi="Bahnschrift" w:eastAsia="Bahnschrift" w:cs="Bahnschrift"/>
          <w:sz w:val="19"/>
          <w:szCs w:val="19"/>
        </w:rPr>
      </w:pPr>
      <w:r>
        <w:rPr>
          <w:rFonts w:eastAsia="Bahnschrift" w:cs="Bahnschrift"/>
          <w:sz w:val="19"/>
          <w:szCs w:val="19"/>
        </w:rPr>
        <w:t>wie Personen im Vergleich zueinander abschneiden,</w:t>
      </w:r>
    </w:p>
    <w:p>
      <w:pPr>
        <w:pStyle w:val="ListParagraph"/>
        <w:numPr>
          <w:ilvl w:val="0"/>
          <w:numId w:val="21"/>
        </w:numPr>
        <w:spacing w:lineRule="auto" w:line="264" w:before="0" w:after="60"/>
        <w:rPr>
          <w:rFonts w:ascii="Bahnschrift" w:hAnsi="Bahnschrift" w:eastAsia="Bahnschrift" w:cs="Bahnschrift"/>
          <w:sz w:val="19"/>
          <w:szCs w:val="19"/>
        </w:rPr>
      </w:pPr>
      <w:r>
        <w:rPr>
          <w:rFonts w:eastAsia="Bahnschrift" w:cs="Bahnschrift"/>
          <w:sz w:val="19"/>
          <w:szCs w:val="19"/>
        </w:rPr>
        <w:t>wie das Arbeitsverhalten einzelner Personen insgesamt zu beurteilen ist,</w:t>
      </w:r>
    </w:p>
    <w:p>
      <w:pPr>
        <w:pStyle w:val="ListParagraph"/>
        <w:numPr>
          <w:ilvl w:val="0"/>
          <w:numId w:val="22"/>
        </w:numPr>
        <w:spacing w:lineRule="auto" w:line="264" w:before="0" w:after="60"/>
        <w:rPr>
          <w:rFonts w:ascii="Bahnschrift" w:hAnsi="Bahnschrift" w:eastAsia="Bahnschrift" w:cs="Bahnschrift"/>
          <w:sz w:val="19"/>
          <w:szCs w:val="19"/>
        </w:rPr>
      </w:pPr>
      <w:r>
        <w:rPr>
          <w:rFonts w:eastAsia="Bahnschrift" w:cs="Bahnschrift"/>
          <w:sz w:val="19"/>
          <w:szCs w:val="19"/>
        </w:rPr>
        <w:t>welche Eignung eine Person für eine Aufgabe, Position oder Maßnahme besitzt.</w:t>
      </w:r>
    </w:p>
    <w:p>
      <w:pPr>
        <w:pStyle w:val="Normal"/>
        <w:spacing w:lineRule="auto" w:line="120" w:before="0" w:after="60"/>
        <w:rPr/>
      </w:pPr>
      <w:r>
        <w:rPr/>
      </w:r>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(3) Absatz 2 gilt unabhängig davon, ob eine solche Auswertung ausdrücklich verlangt oder als Nebenergebnis einer anderen Anfrage erzeugt wird, und unabhängig davon, ob sie gespeichert wird.</w:t>
      </w:r>
    </w:p>
    <w:p>
      <w:pPr>
        <w:pStyle w:val="Normal"/>
        <w:spacing w:lineRule="auto" w:line="264" w:before="0" w:after="110"/>
        <w:rPr/>
      </w:pPr>
      <w:r>
        <w:rPr>
          <w:rFonts w:eastAsia="Bahnschrift" w:cs="Bahnschrift"/>
          <w:sz w:val="19"/>
          <w:szCs w:val="19"/>
        </w:rPr>
        <w:t>(4) Der Arbeitgeber wirkt darauf hin, dass die zur KI-Nutzung berechtigten Personen Rechte für zeit- und personenbezogene Auswertungen, insbesondere für Zeiterfassung und nutzerbezogene Listen, nur im fachlich erforderlichen Umfang erhalten.</w:t>
      </w:r>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(5) Verwertungsverbot. Erkenntnisse, die unter Verstoß gegen diese Vereinbarung gewonnen wurden, dürfen nicht zum Nachteil von Beschäftigten verwendet werden, insbesondere nicht als Grundlage für Ermahnungen, Abmahnungen, Kündigungen, Versetzungen, Vergütungsentscheidungen oder Beurteilungen. Sie sind unverzüglich zu löschen.</w:t>
      </w:r>
    </w:p>
    <w:p>
      <w:pPr>
        <w:pStyle w:val="Heading3"/>
        <w:keepNext w:val="true"/>
        <w:rPr>
          <w:rFonts w:ascii="Bahnschrift" w:hAnsi="Bahnschrift" w:eastAsia="Bahnschrift" w:cs="Bahnschrift"/>
          <w:b/>
          <w:bCs/>
          <w:color w:val="1E1D2D"/>
          <w:sz w:val="23"/>
          <w:szCs w:val="23"/>
        </w:rPr>
      </w:pPr>
      <w:bookmarkStart w:id="8" w:name="h155"/>
      <w:r>
        <w:rPr>
          <w:rFonts w:eastAsia="Bahnschrift" w:cs="Bahnschrift" w:ascii="Bahnschrift" w:hAnsi="Bahnschrift"/>
          <w:b/>
          <w:bCs/>
          <w:color w:val="1E1D2D"/>
          <w:sz w:val="23"/>
          <w:szCs w:val="23"/>
        </w:rPr>
        <w:t>§ 6 Freiwilligkeit</w:t>
      </w:r>
      <w:bookmarkEnd w:id="8"/>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(1) Die Nutzung der KI-Funktionen ist freiwillig.</w:t>
      </w:r>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(2) Aus der Nichtnutzung dürfen den Beschäftigten keine Nachteile entstehen. Insbesondere darf die Nutzung oder Nichtnutzung nicht zum Gegenstand von Zielvereinbarungen oder Beurteilungen gemacht werden.</w:t>
      </w:r>
    </w:p>
    <w:p>
      <w:pPr>
        <w:pStyle w:val="Heading3"/>
        <w:keepNext w:val="true"/>
        <w:rPr>
          <w:rFonts w:ascii="Bahnschrift" w:hAnsi="Bahnschrift" w:eastAsia="Bahnschrift" w:cs="Bahnschrift"/>
          <w:b/>
          <w:bCs/>
          <w:color w:val="1E1D2D"/>
          <w:sz w:val="23"/>
          <w:szCs w:val="23"/>
        </w:rPr>
      </w:pPr>
      <w:bookmarkStart w:id="9" w:name="h156"/>
      <w:r>
        <w:rPr>
          <w:rFonts w:eastAsia="Bahnschrift" w:cs="Bahnschrift" w:ascii="Bahnschrift" w:hAnsi="Bahnschrift"/>
          <w:b/>
          <w:bCs/>
          <w:color w:val="1E1D2D"/>
          <w:sz w:val="23"/>
          <w:szCs w:val="23"/>
        </w:rPr>
        <w:t>§ 7 Technische Ausgestaltung</w:t>
      </w:r>
      <w:bookmarkEnd w:id="9"/>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(1) Die KI-Funktionen werden in der in Anlage 1 beschriebenen Konfiguration betrieben.</w:t>
      </w:r>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(2) Der Arbeitgeber stellt sicher, dass</w:t>
      </w:r>
    </w:p>
    <w:p>
      <w:pPr>
        <w:pStyle w:val="ListParagraph"/>
        <w:numPr>
          <w:ilvl w:val="0"/>
          <w:numId w:val="23"/>
        </w:numPr>
        <w:spacing w:lineRule="auto" w:line="264" w:before="0" w:after="60"/>
        <w:rPr>
          <w:rFonts w:ascii="Bahnschrift" w:hAnsi="Bahnschrift" w:eastAsia="Bahnschrift" w:cs="Bahnschrift"/>
          <w:sz w:val="19"/>
          <w:szCs w:val="19"/>
        </w:rPr>
      </w:pPr>
      <w:r>
        <w:rPr>
          <w:rFonts w:eastAsia="Bahnschrift" w:cs="Bahnschrift"/>
          <w:sz w:val="19"/>
          <w:szCs w:val="19"/>
        </w:rPr>
        <w:t>jeder Zugriff einer KI-Funktion auf Daten ausschließlich im Rahmen der Berechtigungen der jeweils angemeldeten Person erfolgt,</w:t>
      </w:r>
    </w:p>
    <w:p>
      <w:pPr>
        <w:pStyle w:val="ListParagraph"/>
        <w:numPr>
          <w:ilvl w:val="0"/>
          <w:numId w:val="24"/>
        </w:numPr>
        <w:spacing w:lineRule="auto" w:line="264" w:before="0" w:after="60"/>
        <w:rPr>
          <w:rFonts w:ascii="Bahnschrift" w:hAnsi="Bahnschrift" w:eastAsia="Bahnschrift" w:cs="Bahnschrift"/>
          <w:sz w:val="19"/>
          <w:szCs w:val="19"/>
        </w:rPr>
      </w:pPr>
      <w:r>
        <w:rPr>
          <w:rFonts w:eastAsia="Bahnschrift" w:cs="Bahnschrift"/>
          <w:sz w:val="19"/>
          <w:szCs w:val="19"/>
        </w:rPr>
        <w:t>jede Änderung an Daten, die der Assistent ausführen soll, der jeweils angemeldeten Person vor Ausführung einzeln angezeigt wird und ihrer Bestätigung bedarf,</w:t>
      </w:r>
    </w:p>
    <w:p>
      <w:pPr>
        <w:pStyle w:val="ListParagraph"/>
        <w:numPr>
          <w:ilvl w:val="0"/>
          <w:numId w:val="25"/>
        </w:numPr>
        <w:spacing w:lineRule="auto" w:line="264" w:before="0" w:after="60"/>
        <w:rPr>
          <w:rFonts w:ascii="Bahnschrift" w:hAnsi="Bahnschrift" w:eastAsia="Bahnschrift" w:cs="Bahnschrift"/>
          <w:sz w:val="19"/>
          <w:szCs w:val="19"/>
        </w:rPr>
      </w:pPr>
      <w:r>
        <w:rPr>
          <w:rFonts w:eastAsia="Bahnschrift" w:cs="Bahnschrift"/>
          <w:sz w:val="19"/>
          <w:szCs w:val="19"/>
        </w:rPr>
        <w:t>Änderungen, die über den Assistenten oder eine externe KI-Anwendung ausgelöst werden, im Änderungsprotokoll als solche gekennzeichnet werden, soweit die betroffene Funktion einen Protokolleintrag schreibt.</w:t>
      </w:r>
    </w:p>
    <w:p>
      <w:pPr>
        <w:pStyle w:val="Normal"/>
        <w:spacing w:lineRule="auto" w:line="120" w:before="0" w:after="60"/>
        <w:rPr/>
      </w:pPr>
      <w:r>
        <w:rPr/>
      </w:r>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(3) Eine Änderung der Konfiguration nach Anlage 1 richtet sich nach § 15.</w:t>
      </w:r>
    </w:p>
    <w:p>
      <w:pPr>
        <w:pStyle w:val="Heading3"/>
        <w:keepNext w:val="true"/>
        <w:rPr>
          <w:rFonts w:ascii="Bahnschrift" w:hAnsi="Bahnschrift" w:eastAsia="Bahnschrift" w:cs="Bahnschrift"/>
          <w:b/>
          <w:bCs/>
          <w:color w:val="1E1D2D"/>
          <w:sz w:val="23"/>
          <w:szCs w:val="23"/>
        </w:rPr>
      </w:pPr>
      <w:bookmarkStart w:id="10" w:name="h157"/>
      <w:r>
        <w:rPr>
          <w:rFonts w:eastAsia="Bahnschrift" w:cs="Bahnschrift" w:ascii="Bahnschrift" w:hAnsi="Bahnschrift"/>
          <w:b/>
          <w:bCs/>
          <w:color w:val="1E1D2D"/>
          <w:sz w:val="23"/>
          <w:szCs w:val="23"/>
        </w:rPr>
        <w:t>§ 8 Berechtigungen</w:t>
      </w:r>
      <w:bookmarkEnd w:id="10"/>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(1) KI-Funktionen werden nur solchen Rollen zugewiesen, für die ein fachlicher Bedarf besteht.</w:t>
      </w:r>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(2) Externe KI-Anwendungen erhalten grundsätzlich nur lesenden Zugriff. Schreibender Zugriff wird nur einem in Anlage 1 benannten Personenkreis und nur befristet eingeräumt.</w:t>
      </w:r>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(3) Konten mit Administrationsrechten werden nicht mit externen KI-Anwendungen verbunden.</w:t>
      </w:r>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(4) Der Arbeitgeber überprüft die erteilten Berechtigungen mindestens [halbjährlich] und unterrichtet den Betriebsrat über das Ergebnis.</w:t>
      </w:r>
    </w:p>
    <w:p>
      <w:pPr>
        <w:pStyle w:val="Heading3"/>
        <w:keepNext w:val="true"/>
        <w:rPr>
          <w:rFonts w:ascii="Bahnschrift" w:hAnsi="Bahnschrift" w:eastAsia="Bahnschrift" w:cs="Bahnschrift"/>
          <w:b/>
          <w:bCs/>
          <w:color w:val="1E1D2D"/>
          <w:sz w:val="23"/>
          <w:szCs w:val="23"/>
        </w:rPr>
      </w:pPr>
      <w:bookmarkStart w:id="11" w:name="h158"/>
      <w:r>
        <w:rPr>
          <w:rFonts w:eastAsia="Bahnschrift" w:cs="Bahnschrift" w:ascii="Bahnschrift" w:hAnsi="Bahnschrift"/>
          <w:b/>
          <w:bCs/>
          <w:color w:val="1E1D2D"/>
          <w:sz w:val="23"/>
          <w:szCs w:val="23"/>
        </w:rPr>
        <w:t>§ 9 Gesprächsverläufe</w:t>
      </w:r>
      <w:bookmarkEnd w:id="11"/>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(1) Gesprächsverläufe des Assistenten sind in der Anwendung ausschließlich der Person zugänglich, die sie geführt hat. Ein Zugriff durch den Arbeitgeber, durch Vorgesetzte oder durch Administratoren über die Anwendung findet nicht statt.</w:t>
      </w:r>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(2) Der Arbeitgeber wird technische Möglichkeiten, einen solchen Zugriff herzustellen, nicht schaffen und nicht nutzen. Zugriffe auf Datenbank und Datensicherungen im Rahmen des Systembetriebs [durch die IT des Arbeitgebers / durch den Hersteller als Auftragsverarbeiter] sind nur zur Wartung, Störungsbehebung oder Wiederherstellung zulässig; eine inhaltliche Auswertung der Gesprächsverläufe findet dabei nicht statt. Diese Zugriffe werden [dokumentiert / protokolliert]. Ist eine Einsichtnahme in Inhalte ausnahmsweise unvermeidbar, gilt das Verfahren nach Anlage 3 entsprechend.</w:t>
      </w:r>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(3) Beschäftigte können ihre Gesprächsverläufe jederzeit selbst löschen.</w:t>
      </w:r>
    </w:p>
    <w:p>
      <w:pPr>
        <w:pStyle w:val="Heading3"/>
        <w:keepNext w:val="true"/>
        <w:rPr>
          <w:rFonts w:ascii="Bahnschrift" w:hAnsi="Bahnschrift" w:eastAsia="Bahnschrift" w:cs="Bahnschrift"/>
          <w:b/>
          <w:bCs/>
          <w:color w:val="1E1D2D"/>
          <w:sz w:val="23"/>
          <w:szCs w:val="23"/>
        </w:rPr>
      </w:pPr>
      <w:bookmarkStart w:id="12" w:name="h159"/>
      <w:r>
        <w:rPr>
          <w:rFonts w:eastAsia="Bahnschrift" w:cs="Bahnschrift" w:ascii="Bahnschrift" w:hAnsi="Bahnschrift"/>
          <w:b/>
          <w:bCs/>
          <w:color w:val="1E1D2D"/>
          <w:sz w:val="23"/>
          <w:szCs w:val="23"/>
        </w:rPr>
        <w:t>§ 10 Protokolldaten und deren Auswertung</w:t>
      </w:r>
      <w:bookmarkEnd w:id="12"/>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(1) Im Zusammenhang mit den KI-Funktionen entstehen folgende personenbeziehbare Aufzeichnungen:</w:t>
      </w:r>
    </w:p>
    <w:p>
      <w:pPr>
        <w:pStyle w:val="ListParagraph"/>
        <w:numPr>
          <w:ilvl w:val="0"/>
          <w:numId w:val="26"/>
        </w:numPr>
        <w:spacing w:lineRule="auto" w:line="264" w:before="0" w:after="60"/>
        <w:rPr/>
      </w:pPr>
      <w:r>
        <w:rPr>
          <w:rFonts w:eastAsia="Bahnschrift" w:cs="Bahnschrift"/>
          <w:b/>
          <w:bCs/>
          <w:sz w:val="19"/>
          <w:szCs w:val="19"/>
        </w:rPr>
        <w:t>Änderungsprotokoll (Prüfprotokoll):</w:t>
      </w:r>
      <w:r>
        <w:rPr>
          <w:rFonts w:eastAsia="Bahnschrift" w:cs="Bahnschrift"/>
          <w:sz w:val="19"/>
          <w:szCs w:val="19"/>
        </w:rPr>
        <w:t xml:space="preserve"> Datenänderungen, soweit die jeweilige Funktion sie protokolliert, mit Zeitpunkt, ändernder Person, Objekt, altem und neuem Wert sowie der Angabe, ob die Änderung über die Oberfläche, den Assistenten oder eine externe KI-Anwendung (mit Angabe der Anwendung) ausgelöst wurde,</w:t>
      </w:r>
    </w:p>
    <w:p>
      <w:pPr>
        <w:pStyle w:val="ListParagraph"/>
        <w:numPr>
          <w:ilvl w:val="0"/>
          <w:numId w:val="27"/>
        </w:numPr>
        <w:spacing w:lineRule="auto" w:line="264" w:before="0" w:after="60"/>
        <w:rPr/>
      </w:pPr>
      <w:r>
        <w:rPr>
          <w:rFonts w:eastAsia="Bahnschrift" w:cs="Bahnschrift"/>
          <w:b/>
          <w:bCs/>
          <w:sz w:val="19"/>
          <w:szCs w:val="19"/>
        </w:rPr>
        <w:t>Verbrauchsaufzeichnung:</w:t>
      </w:r>
      <w:r>
        <w:rPr>
          <w:rFonts w:eastAsia="Bahnschrift" w:cs="Bahnschrift"/>
          <w:sz w:val="19"/>
          <w:szCs w:val="19"/>
        </w:rPr>
        <w:t xml:space="preserve"> je Vorgang Zeitpunkt, Person, Zuordnung zum Gesprächsverlauf, verwendetes Modell und Anzahl der verarbeiteten Texteinheiten (Token), ohne Inhalte,</w:t>
      </w:r>
    </w:p>
    <w:p>
      <w:pPr>
        <w:pStyle w:val="ListParagraph"/>
        <w:numPr>
          <w:ilvl w:val="0"/>
          <w:numId w:val="28"/>
        </w:numPr>
        <w:spacing w:lineRule="auto" w:line="264" w:before="0" w:after="60"/>
        <w:rPr/>
      </w:pPr>
      <w:r>
        <w:rPr>
          <w:rFonts w:eastAsia="Bahnschrift" w:cs="Bahnschrift"/>
          <w:b/>
          <w:bCs/>
          <w:sz w:val="19"/>
          <w:szCs w:val="19"/>
        </w:rPr>
        <w:t>Verbindungsübersicht:</w:t>
      </w:r>
      <w:r>
        <w:rPr>
          <w:rFonts w:eastAsia="Bahnschrift" w:cs="Bahnschrift"/>
          <w:sz w:val="19"/>
          <w:szCs w:val="19"/>
        </w:rPr>
        <w:t xml:space="preserve"> welche Person mit welcher externen KI-Anwendung verbunden ist, seit wann, wie oft und wann zuletzt genutzt,</w:t>
      </w:r>
    </w:p>
    <w:p>
      <w:pPr>
        <w:pStyle w:val="ListParagraph"/>
        <w:numPr>
          <w:ilvl w:val="0"/>
          <w:numId w:val="29"/>
        </w:numPr>
        <w:spacing w:lineRule="auto" w:line="264" w:before="0" w:after="60"/>
        <w:rPr/>
      </w:pPr>
      <w:r>
        <w:rPr>
          <w:rFonts w:eastAsia="Bahnschrift" w:cs="Bahnschrift"/>
          <w:b/>
          <w:bCs/>
          <w:sz w:val="19"/>
          <w:szCs w:val="19"/>
        </w:rPr>
        <w:t>Betriebsprotokoll des Servers:</w:t>
      </w:r>
      <w:r>
        <w:rPr>
          <w:rFonts w:eastAsia="Bahnschrift" w:cs="Bahnschrift"/>
          <w:sz w:val="19"/>
          <w:szCs w:val="19"/>
        </w:rPr>
        <w:t xml:space="preserve"> je Ausführung eines schreibenden Werkzeugs durch die KI Werkzeugname, Person und Ergebnis sowie abgewiesene Bestätigungen, ohne Inhalte.</w:t>
      </w:r>
    </w:p>
    <w:p>
      <w:pPr>
        <w:pStyle w:val="Normal"/>
        <w:spacing w:lineRule="auto" w:line="120" w:before="0" w:after="60"/>
        <w:rPr/>
      </w:pPr>
      <w:r>
        <w:rPr/>
      </w:r>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(2) Diese Aufzeichnungen dienen ausschließlich</w:t>
      </w:r>
    </w:p>
    <w:p>
      <w:pPr>
        <w:pStyle w:val="ListParagraph"/>
        <w:numPr>
          <w:ilvl w:val="0"/>
          <w:numId w:val="30"/>
        </w:numPr>
        <w:spacing w:lineRule="auto" w:line="264" w:before="0" w:after="60"/>
        <w:rPr>
          <w:rFonts w:ascii="Bahnschrift" w:hAnsi="Bahnschrift" w:eastAsia="Bahnschrift" w:cs="Bahnschrift"/>
          <w:sz w:val="19"/>
          <w:szCs w:val="19"/>
        </w:rPr>
      </w:pPr>
      <w:r>
        <w:rPr>
          <w:rFonts w:eastAsia="Bahnschrift" w:cs="Bahnschrift"/>
          <w:sz w:val="19"/>
          <w:szCs w:val="19"/>
        </w:rPr>
        <w:t>der Nachvollziehbarkeit von Datenänderungen,</w:t>
      </w:r>
    </w:p>
    <w:p>
      <w:pPr>
        <w:pStyle w:val="ListParagraph"/>
        <w:numPr>
          <w:ilvl w:val="0"/>
          <w:numId w:val="31"/>
        </w:numPr>
        <w:spacing w:lineRule="auto" w:line="264" w:before="0" w:after="60"/>
        <w:rPr>
          <w:rFonts w:ascii="Bahnschrift" w:hAnsi="Bahnschrift" w:eastAsia="Bahnschrift" w:cs="Bahnschrift"/>
          <w:sz w:val="19"/>
          <w:szCs w:val="19"/>
        </w:rPr>
      </w:pPr>
      <w:r>
        <w:rPr>
          <w:rFonts w:eastAsia="Bahnschrift" w:cs="Bahnschrift"/>
          <w:sz w:val="19"/>
          <w:szCs w:val="19"/>
        </w:rPr>
        <w:t>der Kostenzuordnung und Kapazitätsplanung,</w:t>
      </w:r>
    </w:p>
    <w:p>
      <w:pPr>
        <w:pStyle w:val="ListParagraph"/>
        <w:numPr>
          <w:ilvl w:val="0"/>
          <w:numId w:val="32"/>
        </w:numPr>
        <w:spacing w:lineRule="auto" w:line="264" w:before="0" w:after="60"/>
        <w:rPr>
          <w:rFonts w:ascii="Bahnschrift" w:hAnsi="Bahnschrift" w:eastAsia="Bahnschrift" w:cs="Bahnschrift"/>
          <w:sz w:val="19"/>
          <w:szCs w:val="19"/>
        </w:rPr>
      </w:pPr>
      <w:r>
        <w:rPr>
          <w:rFonts w:eastAsia="Bahnschrift" w:cs="Bahnschrift"/>
          <w:sz w:val="19"/>
          <w:szCs w:val="19"/>
        </w:rPr>
        <w:t>dem Nachweis der Einhaltung dieser Vereinbarung und datenschutzrechtlicher Pflichten,</w:t>
      </w:r>
    </w:p>
    <w:p>
      <w:pPr>
        <w:pStyle w:val="ListParagraph"/>
        <w:numPr>
          <w:ilvl w:val="0"/>
          <w:numId w:val="33"/>
        </w:numPr>
        <w:spacing w:lineRule="auto" w:line="264" w:before="0" w:after="60"/>
        <w:rPr>
          <w:rFonts w:ascii="Bahnschrift" w:hAnsi="Bahnschrift" w:eastAsia="Bahnschrift" w:cs="Bahnschrift"/>
          <w:sz w:val="19"/>
          <w:szCs w:val="19"/>
        </w:rPr>
      </w:pPr>
      <w:r>
        <w:rPr>
          <w:rFonts w:eastAsia="Bahnschrift" w:cs="Bahnschrift"/>
          <w:sz w:val="19"/>
          <w:szCs w:val="19"/>
        </w:rPr>
        <w:t>der Aufklärung von Störungen und Sicherheitsvorfällen.</w:t>
      </w:r>
    </w:p>
    <w:p>
      <w:pPr>
        <w:pStyle w:val="Normal"/>
        <w:spacing w:lineRule="auto" w:line="120" w:before="0" w:after="60"/>
        <w:rPr/>
      </w:pPr>
      <w:r>
        <w:rPr/>
      </w:r>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(3) Regelmäßige Auswertungen erfolgen ausschließlich ohne Personenbezug oder in zusammengefasster Form. Auswertungen, die einzelne Beschäftigte ausweisen, sind unzulässig, soweit nicht Absatz 4 eingreift.</w:t>
      </w:r>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(4) Eine personenbezogene Auswertung ist nur zulässig</w:t>
      </w:r>
    </w:p>
    <w:p>
      <w:pPr>
        <w:pStyle w:val="ListParagraph"/>
        <w:numPr>
          <w:ilvl w:val="0"/>
          <w:numId w:val="34"/>
        </w:numPr>
        <w:spacing w:lineRule="auto" w:line="264" w:before="0" w:after="60"/>
        <w:rPr>
          <w:rFonts w:ascii="Bahnschrift" w:hAnsi="Bahnschrift" w:eastAsia="Bahnschrift" w:cs="Bahnschrift"/>
          <w:sz w:val="19"/>
          <w:szCs w:val="19"/>
        </w:rPr>
      </w:pPr>
      <w:r>
        <w:rPr>
          <w:rFonts w:eastAsia="Bahnschrift" w:cs="Bahnschrift"/>
          <w:sz w:val="19"/>
          <w:szCs w:val="19"/>
        </w:rPr>
        <w:t>bei einem durch Tatsachen begründeten konkreten Verdacht einer erheblichen Pflichtverletzung oder Straftat,</w:t>
      </w:r>
    </w:p>
    <w:p>
      <w:pPr>
        <w:pStyle w:val="ListParagraph"/>
        <w:numPr>
          <w:ilvl w:val="0"/>
          <w:numId w:val="35"/>
        </w:numPr>
        <w:spacing w:lineRule="auto" w:line="264" w:before="0" w:after="60"/>
        <w:rPr>
          <w:rFonts w:ascii="Bahnschrift" w:hAnsi="Bahnschrift" w:eastAsia="Bahnschrift" w:cs="Bahnschrift"/>
          <w:sz w:val="19"/>
          <w:szCs w:val="19"/>
        </w:rPr>
      </w:pPr>
      <w:r>
        <w:rPr>
          <w:rFonts w:eastAsia="Bahnschrift" w:cs="Bahnschrift"/>
          <w:sz w:val="19"/>
          <w:szCs w:val="19"/>
        </w:rPr>
        <w:t>zur Aufklärung eines konkreten Sicherheits- oder Datenschutzvorfalls oder</w:t>
      </w:r>
    </w:p>
    <w:p>
      <w:pPr>
        <w:pStyle w:val="ListParagraph"/>
        <w:numPr>
          <w:ilvl w:val="0"/>
          <w:numId w:val="36"/>
        </w:numPr>
        <w:spacing w:lineRule="auto" w:line="264" w:before="0" w:after="60"/>
        <w:rPr>
          <w:rFonts w:ascii="Bahnschrift" w:hAnsi="Bahnschrift" w:eastAsia="Bahnschrift" w:cs="Bahnschrift"/>
          <w:sz w:val="19"/>
          <w:szCs w:val="19"/>
        </w:rPr>
      </w:pPr>
      <w:r>
        <w:rPr>
          <w:rFonts w:eastAsia="Bahnschrift" w:cs="Bahnschrift"/>
          <w:sz w:val="19"/>
          <w:szCs w:val="19"/>
        </w:rPr>
        <w:t>auf Verlangen der betroffenen Person selbst.</w:t>
      </w:r>
    </w:p>
    <w:p>
      <w:pPr>
        <w:pStyle w:val="Normal"/>
        <w:spacing w:lineRule="auto" w:line="120" w:before="0" w:after="60"/>
        <w:rPr/>
      </w:pPr>
      <w:r>
        <w:rPr/>
      </w:r>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Sie erfolgt nach dem Verfahren der Anlage 3.</w:t>
      </w:r>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(5) Die betroffene Person wird über eine personenbezogene Auswertung nach Absatz 4 Nummer 1 und 2 unterrichtet, sobald der Zweck der Maßnahme dadurch nicht mehr gefährdet wird.</w:t>
      </w:r>
    </w:p>
    <w:p>
      <w:pPr>
        <w:pStyle w:val="Heading3"/>
        <w:keepNext w:val="true"/>
        <w:rPr>
          <w:rFonts w:ascii="Bahnschrift" w:hAnsi="Bahnschrift" w:eastAsia="Bahnschrift" w:cs="Bahnschrift"/>
          <w:b/>
          <w:bCs/>
          <w:color w:val="1E1D2D"/>
          <w:sz w:val="23"/>
          <w:szCs w:val="23"/>
        </w:rPr>
      </w:pPr>
      <w:bookmarkStart w:id="13" w:name="h160"/>
      <w:r>
        <w:rPr>
          <w:rFonts w:eastAsia="Bahnschrift" w:cs="Bahnschrift" w:ascii="Bahnschrift" w:hAnsi="Bahnschrift"/>
          <w:b/>
          <w:bCs/>
          <w:color w:val="1E1D2D"/>
          <w:sz w:val="23"/>
          <w:szCs w:val="23"/>
        </w:rPr>
        <w:t>§ 11 Aufbewahrung und Löschung</w:t>
      </w:r>
      <w:bookmarkEnd w:id="13"/>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(1) Gesprächsverläufe werden nach [… Monaten] gelöscht. Solange die Software keine automatische Löschung vorsieht, erinnert [Stelle] die Beschäftigten [quartalsweise] an die Löschung. Der Arbeitgeber wirkt beim Hersteller auf eine automatische Löschfrist hin.</w:t>
      </w:r>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(2) Verbrauchsaufzeichnungen werden nach [… Monaten] gelöscht.</w:t>
      </w:r>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(3) Für das Änderungsprotokoll gelten die allgemeinen Aufbewahrungsregeln [Betriebsvereinbarung … / Löschkonzept vom …].</w:t>
      </w:r>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(4) Bei Beendigung des Arbeitsverhältnisses werden die Gesprächsverläufe der ausscheidenden Person gelöscht.</w:t>
      </w:r>
    </w:p>
    <w:p>
      <w:pPr>
        <w:pStyle w:val="Heading3"/>
        <w:keepNext w:val="true"/>
        <w:rPr>
          <w:rFonts w:ascii="Bahnschrift" w:hAnsi="Bahnschrift" w:eastAsia="Bahnschrift" w:cs="Bahnschrift"/>
          <w:b/>
          <w:bCs/>
          <w:color w:val="1E1D2D"/>
          <w:sz w:val="23"/>
          <w:szCs w:val="23"/>
        </w:rPr>
      </w:pPr>
      <w:bookmarkStart w:id="14" w:name="h161"/>
      <w:r>
        <w:rPr>
          <w:rFonts w:eastAsia="Bahnschrift" w:cs="Bahnschrift" w:ascii="Bahnschrift" w:hAnsi="Bahnschrift"/>
          <w:b/>
          <w:bCs/>
          <w:color w:val="1E1D2D"/>
          <w:sz w:val="23"/>
          <w:szCs w:val="23"/>
        </w:rPr>
        <w:t>§ 12 Externe KI-Anwendungen</w:t>
      </w:r>
      <w:bookmarkEnd w:id="14"/>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(1) Es dürfen ausschließlich die in Anlage 2 genannten externen KI-Anwendungen mit Daten aus WORKSPACE.PM verbunden werden.</w:t>
      </w:r>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(2) Die Nutzung privater Zugänge zu KI-Diensten mit Daten aus WORKSPACE.PM ist untersagt.</w:t>
      </w:r>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(3) Die Aufnahme einer weiteren Anwendung in Anlage 2 bedarf der Zustimmung des Betriebsrats. Vor der Aufnahme legt der Arbeitgeber dar, welche Daten die Anwendung abruft, an welchen KI-Anbieter sie diese übermittelt und welche Vereinbarungen mit dem Betreiber der Anwendung bestehen.</w:t>
      </w:r>
    </w:p>
    <w:p>
      <w:pPr>
        <w:pStyle w:val="Normal"/>
        <w:spacing w:lineRule="auto" w:line="264" w:before="0" w:after="110"/>
        <w:rPr/>
      </w:pPr>
      <w:r>
        <w:rPr>
          <w:rFonts w:eastAsia="Bahnschrift" w:cs="Bahnschrift"/>
          <w:sz w:val="19"/>
          <w:szCs w:val="19"/>
        </w:rPr>
        <w:t>(4) Der Arbeitgeber unterrichtet den Betriebsrat [quartalsweise] über die bestehenden Verbindungen nach § 10 Absatz 1 Nummer 3, ohne Angabe von Nutzungshäufigkeiten einzelner Personen.</w:t>
      </w:r>
    </w:p>
    <w:p>
      <w:pPr>
        <w:pStyle w:val="Heading3"/>
        <w:keepNext w:val="true"/>
        <w:rPr>
          <w:rFonts w:ascii="Bahnschrift" w:hAnsi="Bahnschrift" w:eastAsia="Bahnschrift" w:cs="Bahnschrift"/>
          <w:b/>
          <w:bCs/>
          <w:color w:val="1E1D2D"/>
          <w:sz w:val="23"/>
          <w:szCs w:val="23"/>
        </w:rPr>
      </w:pPr>
      <w:bookmarkStart w:id="15" w:name="h162"/>
      <w:r>
        <w:rPr>
          <w:rFonts w:eastAsia="Bahnschrift" w:cs="Bahnschrift" w:ascii="Bahnschrift" w:hAnsi="Bahnschrift"/>
          <w:b/>
          <w:bCs/>
          <w:color w:val="1E1D2D"/>
          <w:sz w:val="23"/>
          <w:szCs w:val="23"/>
        </w:rPr>
        <w:t>§ 13 Verantwortung für Ergebnisse</w:t>
      </w:r>
      <w:bookmarkEnd w:id="15"/>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(1) Ergebnisse der KI-Funktionen sind Vorschläge. Die fachliche Verantwortung für übernommene Inhalte trägt die übernehmende Person.</w:t>
      </w:r>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(2) Aus einer fehlerhaften Ausgabe der KI erwachsen den Beschäftigten keine Nachteile, sofern sie die nach § 14 vermittelte Sorgfalt beachtet haben.</w:t>
      </w:r>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(3) Die Beschäftigten sind nicht verpflichtet, Vorschläge der KI zu übernehmen.</w:t>
      </w:r>
    </w:p>
    <w:p>
      <w:pPr>
        <w:pStyle w:val="Heading3"/>
        <w:keepNext w:val="true"/>
        <w:rPr>
          <w:rFonts w:ascii="Bahnschrift" w:hAnsi="Bahnschrift" w:eastAsia="Bahnschrift" w:cs="Bahnschrift"/>
          <w:b/>
          <w:bCs/>
          <w:color w:val="1E1D2D"/>
          <w:sz w:val="23"/>
          <w:szCs w:val="23"/>
        </w:rPr>
      </w:pPr>
      <w:bookmarkStart w:id="16" w:name="h163"/>
      <w:r>
        <w:rPr>
          <w:rFonts w:eastAsia="Bahnschrift" w:cs="Bahnschrift" w:ascii="Bahnschrift" w:hAnsi="Bahnschrift"/>
          <w:b/>
          <w:bCs/>
          <w:color w:val="1E1D2D"/>
          <w:sz w:val="23"/>
          <w:szCs w:val="23"/>
        </w:rPr>
        <w:t>§ 14 Unterrichtung und Schulung</w:t>
      </w:r>
      <w:bookmarkEnd w:id="16"/>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(1) Vor Erteilung einer Berechtigung nach § 8 nehmen Beschäftigte an einer Unterweisung teil. Diese vermittelt mindestens</w:t>
      </w:r>
    </w:p>
    <w:p>
      <w:pPr>
        <w:pStyle w:val="ListParagraph"/>
        <w:numPr>
          <w:ilvl w:val="0"/>
          <w:numId w:val="37"/>
        </w:numPr>
        <w:spacing w:lineRule="auto" w:line="264" w:before="0" w:after="60"/>
        <w:rPr>
          <w:rFonts w:ascii="Bahnschrift" w:hAnsi="Bahnschrift" w:eastAsia="Bahnschrift" w:cs="Bahnschrift"/>
          <w:sz w:val="19"/>
          <w:szCs w:val="19"/>
        </w:rPr>
      </w:pPr>
      <w:r>
        <w:rPr>
          <w:rFonts w:eastAsia="Bahnschrift" w:cs="Bahnschrift"/>
          <w:sz w:val="19"/>
          <w:szCs w:val="19"/>
        </w:rPr>
        <w:t>Funktionsweise und Grenzen der KI-Funktionen,</w:t>
      </w:r>
    </w:p>
    <w:p>
      <w:pPr>
        <w:pStyle w:val="ListParagraph"/>
        <w:numPr>
          <w:ilvl w:val="0"/>
          <w:numId w:val="38"/>
        </w:numPr>
        <w:spacing w:lineRule="auto" w:line="264" w:before="0" w:after="60"/>
        <w:rPr>
          <w:rFonts w:ascii="Bahnschrift" w:hAnsi="Bahnschrift" w:eastAsia="Bahnschrift" w:cs="Bahnschrift"/>
          <w:sz w:val="19"/>
          <w:szCs w:val="19"/>
        </w:rPr>
      </w:pPr>
      <w:r>
        <w:rPr>
          <w:rFonts w:eastAsia="Bahnschrift" w:cs="Bahnschrift"/>
          <w:sz w:val="19"/>
          <w:szCs w:val="19"/>
        </w:rPr>
        <w:t>den Vorschlagscharakter der Ergebnisse und die Prüfpflicht vor Übernahme,</w:t>
      </w:r>
    </w:p>
    <w:p>
      <w:pPr>
        <w:pStyle w:val="ListParagraph"/>
        <w:numPr>
          <w:ilvl w:val="0"/>
          <w:numId w:val="39"/>
        </w:numPr>
        <w:spacing w:lineRule="auto" w:line="264" w:before="0" w:after="60"/>
        <w:rPr>
          <w:rFonts w:ascii="Bahnschrift" w:hAnsi="Bahnschrift" w:eastAsia="Bahnschrift" w:cs="Bahnschrift"/>
          <w:sz w:val="19"/>
          <w:szCs w:val="19"/>
        </w:rPr>
      </w:pPr>
      <w:r>
        <w:rPr>
          <w:rFonts w:eastAsia="Bahnschrift" w:cs="Bahnschrift"/>
          <w:sz w:val="19"/>
          <w:szCs w:val="19"/>
        </w:rPr>
        <w:t>den Umgang mit Bestätigungen im Assistenten und, bei schreibendem Zugriff über die Schnittstelle, den Umstand, dass Änderungen dort nicht in WORKSPACE.PM bestätigt werden,</w:t>
      </w:r>
    </w:p>
    <w:p>
      <w:pPr>
        <w:pStyle w:val="ListParagraph"/>
        <w:numPr>
          <w:ilvl w:val="0"/>
          <w:numId w:val="40"/>
        </w:numPr>
        <w:spacing w:lineRule="auto" w:line="264" w:before="0" w:after="60"/>
        <w:rPr>
          <w:rFonts w:ascii="Bahnschrift" w:hAnsi="Bahnschrift" w:eastAsia="Bahnschrift" w:cs="Bahnschrift"/>
          <w:sz w:val="19"/>
          <w:szCs w:val="19"/>
        </w:rPr>
      </w:pPr>
      <w:r>
        <w:rPr>
          <w:rFonts w:eastAsia="Bahnschrift" w:cs="Bahnschrift"/>
          <w:sz w:val="19"/>
          <w:szCs w:val="19"/>
        </w:rPr>
        <w:t>die unzulässigen Nutzungen nach § 4 Absatz 2 und § 5,</w:t>
      </w:r>
    </w:p>
    <w:p>
      <w:pPr>
        <w:pStyle w:val="ListParagraph"/>
        <w:numPr>
          <w:ilvl w:val="0"/>
          <w:numId w:val="41"/>
        </w:numPr>
        <w:spacing w:lineRule="auto" w:line="264" w:before="0" w:after="60"/>
        <w:rPr>
          <w:rFonts w:ascii="Bahnschrift" w:hAnsi="Bahnschrift" w:eastAsia="Bahnschrift" w:cs="Bahnschrift"/>
          <w:sz w:val="19"/>
          <w:szCs w:val="19"/>
        </w:rPr>
      </w:pPr>
      <w:r>
        <w:rPr>
          <w:rFonts w:eastAsia="Bahnschrift" w:cs="Bahnschrift"/>
          <w:sz w:val="19"/>
          <w:szCs w:val="19"/>
        </w:rPr>
        <w:t>die Melde- und Beschwerdewege.</w:t>
      </w:r>
    </w:p>
    <w:p>
      <w:pPr>
        <w:pStyle w:val="Normal"/>
        <w:spacing w:lineRule="auto" w:line="120" w:before="0" w:after="60"/>
        <w:rPr/>
      </w:pPr>
      <w:r>
        <w:rPr/>
      </w:r>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(2) Der Betriebsrat erhält die Schulungsunterlagen vorab und kann an den Schulungen teilnehmen.</w:t>
      </w:r>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(3) Die Schulung erfolgt während der Arbeitszeit und gilt als Arbeitszeit.</w:t>
      </w:r>
    </w:p>
    <w:p>
      <w:pPr>
        <w:pStyle w:val="Heading3"/>
        <w:keepNext w:val="true"/>
        <w:rPr>
          <w:rFonts w:ascii="Bahnschrift" w:hAnsi="Bahnschrift" w:eastAsia="Bahnschrift" w:cs="Bahnschrift"/>
          <w:b/>
          <w:bCs/>
          <w:color w:val="1E1D2D"/>
          <w:sz w:val="23"/>
          <w:szCs w:val="23"/>
        </w:rPr>
      </w:pPr>
      <w:bookmarkStart w:id="17" w:name="h164"/>
      <w:r>
        <w:rPr>
          <w:rFonts w:eastAsia="Bahnschrift" w:cs="Bahnschrift" w:ascii="Bahnschrift" w:hAnsi="Bahnschrift"/>
          <w:b/>
          <w:bCs/>
          <w:color w:val="1E1D2D"/>
          <w:sz w:val="23"/>
          <w:szCs w:val="23"/>
        </w:rPr>
        <w:t>§ 15 Beteiligung bei Änderungen</w:t>
      </w:r>
      <w:bookmarkEnd w:id="17"/>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(1) Der Arbeitgeber unterrichtet den Betriebsrat unverzüglich über</w:t>
      </w:r>
    </w:p>
    <w:p>
      <w:pPr>
        <w:pStyle w:val="ListParagraph"/>
        <w:numPr>
          <w:ilvl w:val="0"/>
          <w:numId w:val="42"/>
        </w:numPr>
        <w:spacing w:lineRule="auto" w:line="264" w:before="0" w:after="60"/>
        <w:rPr>
          <w:rFonts w:ascii="Bahnschrift" w:hAnsi="Bahnschrift" w:eastAsia="Bahnschrift" w:cs="Bahnschrift"/>
          <w:sz w:val="19"/>
          <w:szCs w:val="19"/>
        </w:rPr>
      </w:pPr>
      <w:r>
        <w:rPr>
          <w:rFonts w:eastAsia="Bahnschrift" w:cs="Bahnschrift"/>
          <w:sz w:val="19"/>
          <w:szCs w:val="19"/>
        </w:rPr>
        <w:t>neue oder entfallene KI-Funktionen,</w:t>
      </w:r>
    </w:p>
    <w:p>
      <w:pPr>
        <w:pStyle w:val="ListParagraph"/>
        <w:numPr>
          <w:ilvl w:val="0"/>
          <w:numId w:val="43"/>
        </w:numPr>
        <w:spacing w:lineRule="auto" w:line="264" w:before="0" w:after="60"/>
        <w:rPr>
          <w:rFonts w:ascii="Bahnschrift" w:hAnsi="Bahnschrift" w:eastAsia="Bahnschrift" w:cs="Bahnschrift"/>
          <w:sz w:val="19"/>
          <w:szCs w:val="19"/>
        </w:rPr>
      </w:pPr>
      <w:r>
        <w:rPr>
          <w:rFonts w:eastAsia="Bahnschrift" w:cs="Bahnschrift"/>
          <w:sz w:val="19"/>
          <w:szCs w:val="19"/>
        </w:rPr>
        <w:t>Änderungen an der Konfiguration nach Anlage 1,</w:t>
      </w:r>
    </w:p>
    <w:p>
      <w:pPr>
        <w:pStyle w:val="ListParagraph"/>
        <w:numPr>
          <w:ilvl w:val="0"/>
          <w:numId w:val="44"/>
        </w:numPr>
        <w:spacing w:lineRule="auto" w:line="264" w:before="0" w:after="60"/>
        <w:rPr>
          <w:rFonts w:ascii="Bahnschrift" w:hAnsi="Bahnschrift" w:eastAsia="Bahnschrift" w:cs="Bahnschrift"/>
          <w:sz w:val="19"/>
          <w:szCs w:val="19"/>
        </w:rPr>
      </w:pPr>
      <w:r>
        <w:rPr>
          <w:rFonts w:eastAsia="Bahnschrift" w:cs="Bahnschrift"/>
          <w:sz w:val="19"/>
          <w:szCs w:val="19"/>
        </w:rPr>
        <w:t>den Wechsel des KI-Anbieters oder der Betriebsart,</w:t>
      </w:r>
    </w:p>
    <w:p>
      <w:pPr>
        <w:pStyle w:val="ListParagraph"/>
        <w:numPr>
          <w:ilvl w:val="0"/>
          <w:numId w:val="45"/>
        </w:numPr>
        <w:spacing w:lineRule="auto" w:line="264" w:before="0" w:after="60"/>
        <w:rPr>
          <w:rFonts w:ascii="Bahnschrift" w:hAnsi="Bahnschrift" w:eastAsia="Bahnschrift" w:cs="Bahnschrift"/>
          <w:sz w:val="19"/>
          <w:szCs w:val="19"/>
        </w:rPr>
      </w:pPr>
      <w:r>
        <w:rPr>
          <w:rFonts w:eastAsia="Bahnschrift" w:cs="Bahnschrift"/>
          <w:sz w:val="19"/>
          <w:szCs w:val="19"/>
        </w:rPr>
        <w:t>wesentliche Erweiterungen des Umfangs der Funktionen, auf die die KI zugreifen kann.</w:t>
      </w:r>
    </w:p>
    <w:p>
      <w:pPr>
        <w:pStyle w:val="Normal"/>
        <w:spacing w:lineRule="auto" w:line="120" w:before="0" w:after="60"/>
        <w:rPr/>
      </w:pPr>
      <w:r>
        <w:rPr/>
      </w:r>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(2) Der Hersteller stellt zu jeder Programmfassung ein aktualisiertes Verzeichnis der Funktionen, auf die die KI zugreifen kann (Werkzeugverzeichnis), sowie den Wortlaut der mitgelieferten Anweisungen an das Modell bereit. Der Arbeitgeber leitet diese Unterlagen dem Betriebsrat [mit jeder Programmaktualisierung / halbjährlich] zu.</w:t>
      </w:r>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(3) Änderungen nach Absatz 1 Nummer 1 bis 3 werden erst nach Zustimmung des Betriebsrats wirksam. Die Zustimmung gilt als erteilt, wenn der Betriebsrat nicht innerhalb von [zwei Wochen] nach vollständiger Unterrichtung widerspricht.</w:t>
      </w:r>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(4) Sicherheitsbedingte Sofortmaßnahmen darf der Arbeitgeber ohne vorherige Zustimmung ergreifen; er unterrichtet den Betriebsrat unverzüglich und holt die Zustimmung nach.</w:t>
      </w:r>
    </w:p>
    <w:p>
      <w:pPr>
        <w:pStyle w:val="Heading3"/>
        <w:keepNext w:val="true"/>
        <w:rPr>
          <w:rFonts w:ascii="Bahnschrift" w:hAnsi="Bahnschrift" w:eastAsia="Bahnschrift" w:cs="Bahnschrift"/>
          <w:b/>
          <w:bCs/>
          <w:color w:val="1E1D2D"/>
          <w:sz w:val="23"/>
          <w:szCs w:val="23"/>
        </w:rPr>
      </w:pPr>
      <w:bookmarkStart w:id="18" w:name="h165"/>
      <w:r>
        <w:rPr>
          <w:rFonts w:eastAsia="Bahnschrift" w:cs="Bahnschrift" w:ascii="Bahnschrift" w:hAnsi="Bahnschrift"/>
          <w:b/>
          <w:bCs/>
          <w:color w:val="1E1D2D"/>
          <w:sz w:val="23"/>
          <w:szCs w:val="23"/>
        </w:rPr>
        <w:t>§ 16 Rechte der Beschäftigten</w:t>
      </w:r>
      <w:bookmarkEnd w:id="18"/>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(1) Beschäftigte können Auskunft darüber verlangen, welche sie betreffenden Daten im Zusammenhang mit den KI-Funktionen gespeichert sind.</w:t>
      </w:r>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(2) Sie können sich bei Fragen und Beschwerden an [Stelle], an den betrieblichen Datenschutzbeauftragten und an den Betriebsrat wenden. Die Beschwerderechte nach §§ 84, 85 BetrVG bleiben unberührt.</w:t>
      </w:r>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(3) Beschäftigte, die eine Verletzung dieser Vereinbarung melden, dürfen deswegen nicht benachteiligt werden.</w:t>
      </w:r>
    </w:p>
    <w:p>
      <w:pPr>
        <w:pStyle w:val="Heading3"/>
        <w:keepNext w:val="true"/>
        <w:rPr/>
      </w:pPr>
      <w:bookmarkStart w:id="19" w:name="h166"/>
      <w:r>
        <w:rPr>
          <w:rFonts w:eastAsia="Bahnschrift" w:cs="Bahnschrift" w:ascii="Bahnschrift" w:hAnsi="Bahnschrift"/>
          <w:b/>
          <w:bCs/>
          <w:color w:val="1E1D2D"/>
          <w:sz w:val="23"/>
          <w:szCs w:val="23"/>
        </w:rPr>
        <w:t>§ 17 Verstöße</w:t>
      </w:r>
      <w:bookmarkEnd w:id="19"/>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(1) Verstöße gegen diese Vereinbarung werden [Stelle] und dem Betriebsrat mitgeteilt.</w:t>
      </w:r>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(2) Bei einem Verstoß des Arbeitgebers gegen § 5 oder § 10 kann der Betriebsrat die Aussetzung der betroffenen Funktion verlangen, bis der Sachverhalt geklärt ist.</w:t>
      </w:r>
    </w:p>
    <w:p>
      <w:pPr>
        <w:pStyle w:val="Heading3"/>
        <w:keepNext w:val="true"/>
        <w:rPr>
          <w:rFonts w:ascii="Bahnschrift" w:hAnsi="Bahnschrift" w:eastAsia="Bahnschrift" w:cs="Bahnschrift"/>
          <w:b/>
          <w:bCs/>
          <w:color w:val="1E1D2D"/>
          <w:sz w:val="23"/>
          <w:szCs w:val="23"/>
        </w:rPr>
      </w:pPr>
      <w:bookmarkStart w:id="20" w:name="h167"/>
      <w:r>
        <w:rPr>
          <w:rFonts w:eastAsia="Bahnschrift" w:cs="Bahnschrift" w:ascii="Bahnschrift" w:hAnsi="Bahnschrift"/>
          <w:b/>
          <w:bCs/>
          <w:color w:val="1E1D2D"/>
          <w:sz w:val="23"/>
          <w:szCs w:val="23"/>
        </w:rPr>
        <w:t>§ 18 Meinungsverschiedenheiten</w:t>
      </w:r>
      <w:bookmarkEnd w:id="20"/>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Bei Meinungsverschiedenheiten über Auslegung oder Anwendung dieser Vereinbarung verhandeln die Betriebsparteien mit dem Ziel einer Einigung. Kommt eine Einigung nicht zustande, entscheidet die Einigungsstelle nach § 76 BetrVG.</w:t>
      </w:r>
    </w:p>
    <w:p>
      <w:pPr>
        <w:pStyle w:val="Heading3"/>
        <w:keepNext w:val="true"/>
        <w:rPr>
          <w:rFonts w:ascii="Bahnschrift" w:hAnsi="Bahnschrift" w:eastAsia="Bahnschrift" w:cs="Bahnschrift"/>
          <w:b/>
          <w:bCs/>
          <w:color w:val="1E1D2D"/>
          <w:sz w:val="23"/>
          <w:szCs w:val="23"/>
        </w:rPr>
      </w:pPr>
      <w:bookmarkStart w:id="21" w:name="h168"/>
      <w:r>
        <w:rPr>
          <w:rFonts w:eastAsia="Bahnschrift" w:cs="Bahnschrift" w:ascii="Bahnschrift" w:hAnsi="Bahnschrift"/>
          <w:b/>
          <w:bCs/>
          <w:color w:val="1E1D2D"/>
          <w:sz w:val="23"/>
          <w:szCs w:val="23"/>
        </w:rPr>
        <w:t>§ 19 Inkrafttreten, Laufzeit, Kündigung</w:t>
      </w:r>
      <w:bookmarkEnd w:id="21"/>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(1) Diese Vereinbarung tritt am [Datum] in Kraft.</w:t>
      </w:r>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(2) Sie kann mit einer Frist von [drei Monaten] zum Monatsende gekündigt werden, erstmals zum [Datum].</w:t>
      </w:r>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(3) Nach Kündigung wirkt sie bis zum Abschluss einer neuen Vereinbarung nach; die KI-Funktionen dürfen während der Nachwirkung nur in dem bisherigen Umfang genutzt werden.</w:t>
      </w:r>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(4) Die Betriebsparteien überprüfen die Vereinbarung erstmals [zwölf] Monate nach Inkrafttreten und danach [jährlich] auf ihre Angemessenheit.</w:t>
      </w:r>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(5) Sollte eine Bestimmung unwirksam sein, bleibt die Vereinbarung im Übrigen wirksam. Die Betriebsparteien ersetzen die unwirksame Bestimmung durch eine wirksame, die dem verfolgten Zweck möglichst nahekommt.</w:t>
      </w:r>
    </w:p>
    <w:p>
      <w:pPr>
        <w:pStyle w:val="Normal"/>
        <w:spacing w:before="0" w:after="120"/>
        <w:rPr/>
      </w:pPr>
      <w:r>
        <w:rPr/>
      </w:r>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[Ort], den [Datum]</w:t>
      </w:r>
    </w:p>
    <w:tbl>
      <w:tblPr>
        <w:tblW w:w="9070" w:type="dxa"/>
        <w:jc w:val="left"/>
        <w:tblInd w:w="0" w:type="dxa"/>
        <w:tblLayout w:type="fixed"/>
        <w:tblCellMar>
          <w:top w:w="60" w:type="dxa"/>
          <w:left w:w="90" w:type="dxa"/>
          <w:bottom w:w="60" w:type="dxa"/>
          <w:right w:w="90" w:type="dxa"/>
        </w:tblCellMar>
      </w:tblPr>
      <w:tblGrid>
        <w:gridCol w:w="4535"/>
        <w:gridCol w:w="4535"/>
      </w:tblGrid>
      <w:tr>
        <w:trPr>
          <w:tblHeader w:val="true"/>
          <w:cantSplit w:val="true"/>
        </w:trPr>
        <w:tc>
          <w:tcPr>
            <w:tcW w:w="4535" w:type="dxa"/>
            <w:tcBorders>
              <w:top w:val="single" w:sz="4" w:space="0" w:color="C9D6E6"/>
              <w:left w:val="single" w:sz="4" w:space="0" w:color="C9D6E6"/>
              <w:bottom w:val="single" w:sz="4" w:space="0" w:color="C9D6E6"/>
              <w:right w:val="single" w:sz="4" w:space="0" w:color="C9D6E6"/>
            </w:tcBorders>
            <w:shd w:fill="BACFE6" w:val="clear"/>
          </w:tcPr>
          <w:p>
            <w:pPr>
              <w:pStyle w:val="Normal"/>
              <w:spacing w:lineRule="auto" w:line="252" w:before="0" w:after="0"/>
              <w:rPr>
                <w:rFonts w:ascii="Bahnschrift" w:hAnsi="Bahnschrift" w:eastAsia="Bahnschrift" w:cs="Bahnschrift"/>
                <w:b/>
                <w:bCs/>
                <w:color w:val="1E1D2D"/>
                <w:sz w:val="17"/>
                <w:szCs w:val="17"/>
              </w:rPr>
            </w:pPr>
            <w:r>
              <w:rPr>
                <w:rFonts w:eastAsia="Bahnschrift" w:cs="Bahnschrift"/>
                <w:b/>
                <w:bCs/>
                <w:color w:val="1E1D2D"/>
                <w:sz w:val="17"/>
                <w:szCs w:val="17"/>
              </w:rPr>
              <w:t>Für den Arbeitgeber</w:t>
            </w:r>
          </w:p>
        </w:tc>
        <w:tc>
          <w:tcPr>
            <w:tcW w:w="4535" w:type="dxa"/>
            <w:tcBorders>
              <w:top w:val="single" w:sz="4" w:space="0" w:color="C9D6E6"/>
              <w:left w:val="single" w:sz="4" w:space="0" w:color="C9D6E6"/>
              <w:bottom w:val="single" w:sz="4" w:space="0" w:color="C9D6E6"/>
              <w:right w:val="single" w:sz="4" w:space="0" w:color="C9D6E6"/>
            </w:tcBorders>
            <w:shd w:fill="BACFE6" w:val="clear"/>
          </w:tcPr>
          <w:p>
            <w:pPr>
              <w:pStyle w:val="Normal"/>
              <w:spacing w:lineRule="auto" w:line="252" w:before="0" w:after="0"/>
              <w:rPr>
                <w:rFonts w:ascii="Bahnschrift" w:hAnsi="Bahnschrift" w:eastAsia="Bahnschrift" w:cs="Bahnschrift"/>
                <w:b/>
                <w:bCs/>
                <w:color w:val="1E1D2D"/>
                <w:sz w:val="17"/>
                <w:szCs w:val="17"/>
              </w:rPr>
            </w:pPr>
            <w:r>
              <w:rPr>
                <w:rFonts w:eastAsia="Bahnschrift" w:cs="Bahnschrift"/>
                <w:b/>
                <w:bCs/>
                <w:color w:val="1E1D2D"/>
                <w:sz w:val="17"/>
                <w:szCs w:val="17"/>
              </w:rPr>
              <w:t>Für den Betriebsrat</w:t>
            </w:r>
          </w:p>
        </w:tc>
      </w:tr>
      <w:tr>
        <w:trPr>
          <w:cantSplit w:val="true"/>
        </w:trPr>
        <w:tc>
          <w:tcPr>
            <w:tcW w:w="4535"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pPr>
            <w:r>
              <w:rPr/>
            </w:r>
          </w:p>
        </w:tc>
        <w:tc>
          <w:tcPr>
            <w:tcW w:w="4535"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pPr>
            <w:r>
              <w:rPr/>
            </w:r>
          </w:p>
        </w:tc>
      </w:tr>
      <w:tr>
        <w:trPr>
          <w:cantSplit w:val="true"/>
        </w:trPr>
        <w:tc>
          <w:tcPr>
            <w:tcW w:w="4535" w:type="dxa"/>
            <w:tcBorders>
              <w:top w:val="single" w:sz="4" w:space="0" w:color="C9D6E6"/>
              <w:left w:val="single" w:sz="4" w:space="0" w:color="C9D6E6"/>
              <w:bottom w:val="single" w:sz="4" w:space="0" w:color="C9D6E6"/>
              <w:right w:val="single" w:sz="4" w:space="0" w:color="C9D6E6"/>
            </w:tcBorders>
            <w:shd w:fill="F7F9FC" w:val="clear"/>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________________________</w:t>
            </w:r>
          </w:p>
        </w:tc>
        <w:tc>
          <w:tcPr>
            <w:tcW w:w="4535" w:type="dxa"/>
            <w:tcBorders>
              <w:top w:val="single" w:sz="4" w:space="0" w:color="C9D6E6"/>
              <w:left w:val="single" w:sz="4" w:space="0" w:color="C9D6E6"/>
              <w:bottom w:val="single" w:sz="4" w:space="0" w:color="C9D6E6"/>
              <w:right w:val="single" w:sz="4" w:space="0" w:color="C9D6E6"/>
            </w:tcBorders>
            <w:shd w:fill="F7F9FC" w:val="clear"/>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________________________</w:t>
            </w:r>
          </w:p>
        </w:tc>
      </w:tr>
    </w:tbl>
    <w:p>
      <w:pPr>
        <w:pStyle w:val="Normal"/>
        <w:spacing w:lineRule="auto" w:line="120" w:before="0" w:after="140"/>
        <w:rPr/>
      </w:pPr>
      <w:r>
        <w:rPr/>
      </w:r>
    </w:p>
    <w:p>
      <w:pPr>
        <w:pStyle w:val="Normal"/>
        <w:spacing w:before="0" w:after="120"/>
        <w:rPr/>
      </w:pPr>
      <w:r>
        <w:rPr/>
      </w:r>
    </w:p>
    <w:p>
      <w:pPr>
        <w:pStyle w:val="Heading2"/>
        <w:keepNext w:val="true"/>
        <w:rPr>
          <w:rFonts w:ascii="Bahnschrift" w:hAnsi="Bahnschrift" w:eastAsia="Bahnschrift" w:cs="Bahnschrift"/>
          <w:b/>
          <w:bCs/>
          <w:color w:val="1E1D2D"/>
          <w:sz w:val="28"/>
          <w:szCs w:val="28"/>
        </w:rPr>
      </w:pPr>
      <w:bookmarkStart w:id="22" w:name="h169"/>
      <w:r>
        <w:rPr>
          <w:rFonts w:eastAsia="Bahnschrift" w:cs="Bahnschrift" w:ascii="Bahnschrift" w:hAnsi="Bahnschrift"/>
          <w:b/>
          <w:bCs/>
          <w:color w:val="1E1D2D"/>
          <w:sz w:val="28"/>
          <w:szCs w:val="28"/>
        </w:rPr>
        <w:t>Anlage 1: Technische Ausgestaltung</w:t>
      </w:r>
      <w:bookmarkEnd w:id="22"/>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Stand: [Datum]. Änderungen richten sich nach § 15.</w:t>
      </w:r>
    </w:p>
    <w:p>
      <w:pPr>
        <w:pStyle w:val="Heading3"/>
        <w:keepNext w:val="true"/>
        <w:rPr>
          <w:rFonts w:ascii="Bahnschrift" w:hAnsi="Bahnschrift" w:eastAsia="Bahnschrift" w:cs="Bahnschrift"/>
          <w:b/>
          <w:bCs/>
          <w:color w:val="1E1D2D"/>
          <w:sz w:val="23"/>
          <w:szCs w:val="23"/>
        </w:rPr>
      </w:pPr>
      <w:bookmarkStart w:id="23" w:name="h170"/>
      <w:r>
        <w:rPr>
          <w:rFonts w:eastAsia="Bahnschrift" w:cs="Bahnschrift" w:ascii="Bahnschrift" w:hAnsi="Bahnschrift"/>
          <w:b/>
          <w:bCs/>
          <w:color w:val="1E1D2D"/>
          <w:sz w:val="23"/>
          <w:szCs w:val="23"/>
        </w:rPr>
        <w:t>1.1 Betriebsart und Anbieter</w:t>
      </w:r>
      <w:bookmarkEnd w:id="23"/>
    </w:p>
    <w:tbl>
      <w:tblPr>
        <w:tblW w:w="9070" w:type="dxa"/>
        <w:jc w:val="left"/>
        <w:tblInd w:w="0" w:type="dxa"/>
        <w:tblLayout w:type="fixed"/>
        <w:tblCellMar>
          <w:top w:w="60" w:type="dxa"/>
          <w:left w:w="90" w:type="dxa"/>
          <w:bottom w:w="60" w:type="dxa"/>
          <w:right w:w="90" w:type="dxa"/>
        </w:tblCellMar>
      </w:tblPr>
      <w:tblGrid>
        <w:gridCol w:w="3626"/>
        <w:gridCol w:w="5444"/>
      </w:tblGrid>
      <w:tr>
        <w:trPr>
          <w:tblHeader w:val="true"/>
          <w:cantSplit w:val="true"/>
        </w:trPr>
        <w:tc>
          <w:tcPr>
            <w:tcW w:w="3626" w:type="dxa"/>
            <w:tcBorders>
              <w:top w:val="single" w:sz="4" w:space="0" w:color="C9D6E6"/>
              <w:left w:val="single" w:sz="4" w:space="0" w:color="C9D6E6"/>
              <w:bottom w:val="single" w:sz="4" w:space="0" w:color="C9D6E6"/>
              <w:right w:val="single" w:sz="4" w:space="0" w:color="C9D6E6"/>
            </w:tcBorders>
            <w:shd w:fill="BACFE6" w:val="clear"/>
          </w:tcPr>
          <w:p>
            <w:pPr>
              <w:pStyle w:val="Normal"/>
              <w:spacing w:lineRule="auto" w:line="252" w:before="0" w:after="0"/>
              <w:rPr>
                <w:rFonts w:ascii="Bahnschrift" w:hAnsi="Bahnschrift" w:eastAsia="Bahnschrift" w:cs="Bahnschrift"/>
                <w:b/>
                <w:bCs/>
                <w:color w:val="1E1D2D"/>
                <w:sz w:val="17"/>
                <w:szCs w:val="17"/>
              </w:rPr>
            </w:pPr>
            <w:r>
              <w:rPr>
                <w:rFonts w:eastAsia="Bahnschrift" w:cs="Bahnschrift"/>
                <w:b/>
                <w:bCs/>
                <w:color w:val="1E1D2D"/>
                <w:sz w:val="17"/>
                <w:szCs w:val="17"/>
              </w:rPr>
              <w:t>Punkt</w:t>
            </w:r>
          </w:p>
        </w:tc>
        <w:tc>
          <w:tcPr>
            <w:tcW w:w="5444" w:type="dxa"/>
            <w:tcBorders>
              <w:top w:val="single" w:sz="4" w:space="0" w:color="C9D6E6"/>
              <w:left w:val="single" w:sz="4" w:space="0" w:color="C9D6E6"/>
              <w:bottom w:val="single" w:sz="4" w:space="0" w:color="C9D6E6"/>
              <w:right w:val="single" w:sz="4" w:space="0" w:color="C9D6E6"/>
            </w:tcBorders>
            <w:shd w:fill="BACFE6" w:val="clear"/>
          </w:tcPr>
          <w:p>
            <w:pPr>
              <w:pStyle w:val="Normal"/>
              <w:spacing w:lineRule="auto" w:line="252" w:before="0" w:after="0"/>
              <w:rPr>
                <w:rFonts w:ascii="Bahnschrift" w:hAnsi="Bahnschrift" w:eastAsia="Bahnschrift" w:cs="Bahnschrift"/>
                <w:b/>
                <w:bCs/>
                <w:color w:val="1E1D2D"/>
                <w:sz w:val="17"/>
                <w:szCs w:val="17"/>
              </w:rPr>
            </w:pPr>
            <w:r>
              <w:rPr>
                <w:rFonts w:eastAsia="Bahnschrift" w:cs="Bahnschrift"/>
                <w:b/>
                <w:bCs/>
                <w:color w:val="1E1D2D"/>
                <w:sz w:val="17"/>
                <w:szCs w:val="17"/>
              </w:rPr>
              <w:t>Festlegung</w:t>
            </w:r>
          </w:p>
        </w:tc>
      </w:tr>
      <w:tr>
        <w:trPr>
          <w:cantSplit w:val="true"/>
        </w:trPr>
        <w:tc>
          <w:tcPr>
            <w:tcW w:w="3626"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Betriebsart</w:t>
            </w:r>
          </w:p>
        </w:tc>
        <w:tc>
          <w:tcPr>
            <w:tcW w:w="5444"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 xml:space="preserve">☐ </w:t>
            </w:r>
            <w:r>
              <w:rPr>
                <w:rFonts w:eastAsia="Bahnschrift" w:cs="Bahnschrift"/>
                <w:b w:val="false"/>
                <w:bCs w:val="false"/>
                <w:color w:val="1E1D2D"/>
                <w:sz w:val="17"/>
                <w:szCs w:val="17"/>
              </w:rPr>
              <w:t>lokales Modell · ☐ eigener Anbieter (BYOK) · ☐ verwalteter Modus (nur SaaS-Edition, derzeit vom Hersteller nicht angeboten)</w:t>
            </w:r>
          </w:p>
        </w:tc>
      </w:tr>
      <w:tr>
        <w:trPr>
          <w:cantSplit w:val="true"/>
        </w:trPr>
        <w:tc>
          <w:tcPr>
            <w:tcW w:w="3626" w:type="dxa"/>
            <w:tcBorders>
              <w:top w:val="single" w:sz="4" w:space="0" w:color="C9D6E6"/>
              <w:left w:val="single" w:sz="4" w:space="0" w:color="C9D6E6"/>
              <w:bottom w:val="single" w:sz="4" w:space="0" w:color="C9D6E6"/>
              <w:right w:val="single" w:sz="4" w:space="0" w:color="C9D6E6"/>
            </w:tcBorders>
            <w:shd w:fill="F7F9FC" w:val="clear"/>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KI-Anbieter und Modell</w:t>
            </w:r>
          </w:p>
        </w:tc>
        <w:tc>
          <w:tcPr>
            <w:tcW w:w="5444" w:type="dxa"/>
            <w:tcBorders>
              <w:top w:val="single" w:sz="4" w:space="0" w:color="C9D6E6"/>
              <w:left w:val="single" w:sz="4" w:space="0" w:color="C9D6E6"/>
              <w:bottom w:val="single" w:sz="4" w:space="0" w:color="C9D6E6"/>
              <w:right w:val="single" w:sz="4" w:space="0" w:color="C9D6E6"/>
            </w:tcBorders>
            <w:shd w:fill="F7F9FC" w:val="clear"/>
          </w:tcPr>
          <w:p>
            <w:pPr>
              <w:pStyle w:val="Normal"/>
              <w:spacing w:lineRule="auto" w:line="252" w:before="0" w:after="0"/>
              <w:rPr/>
            </w:pPr>
            <w:r>
              <w:rPr/>
            </w:r>
          </w:p>
        </w:tc>
      </w:tr>
      <w:tr>
        <w:trPr>
          <w:cantSplit w:val="true"/>
        </w:trPr>
        <w:tc>
          <w:tcPr>
            <w:tcW w:w="3626"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Verarbeitungsstandort</w:t>
            </w:r>
          </w:p>
        </w:tc>
        <w:tc>
          <w:tcPr>
            <w:tcW w:w="5444"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pPr>
            <w:r>
              <w:rPr/>
            </w:r>
          </w:p>
        </w:tc>
      </w:tr>
      <w:tr>
        <w:trPr>
          <w:cantSplit w:val="true"/>
        </w:trPr>
        <w:tc>
          <w:tcPr>
            <w:tcW w:w="3626" w:type="dxa"/>
            <w:tcBorders>
              <w:top w:val="single" w:sz="4" w:space="0" w:color="C9D6E6"/>
              <w:left w:val="single" w:sz="4" w:space="0" w:color="C9D6E6"/>
              <w:bottom w:val="single" w:sz="4" w:space="0" w:color="C9D6E6"/>
              <w:right w:val="single" w:sz="4" w:space="0" w:color="C9D6E6"/>
            </w:tcBorders>
            <w:shd w:fill="F7F9FC" w:val="clear"/>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Auftragsverarbeitungsvertrag geschlossen am</w:t>
            </w:r>
          </w:p>
        </w:tc>
        <w:tc>
          <w:tcPr>
            <w:tcW w:w="5444" w:type="dxa"/>
            <w:tcBorders>
              <w:top w:val="single" w:sz="4" w:space="0" w:color="C9D6E6"/>
              <w:left w:val="single" w:sz="4" w:space="0" w:color="C9D6E6"/>
              <w:bottom w:val="single" w:sz="4" w:space="0" w:color="C9D6E6"/>
              <w:right w:val="single" w:sz="4" w:space="0" w:color="C9D6E6"/>
            </w:tcBorders>
            <w:shd w:fill="F7F9FC" w:val="clear"/>
          </w:tcPr>
          <w:p>
            <w:pPr>
              <w:pStyle w:val="Normal"/>
              <w:spacing w:lineRule="auto" w:line="252" w:before="0" w:after="0"/>
              <w:rPr/>
            </w:pPr>
            <w:r>
              <w:rPr/>
            </w:r>
          </w:p>
        </w:tc>
      </w:tr>
      <w:tr>
        <w:trPr>
          <w:cantSplit w:val="true"/>
        </w:trPr>
        <w:tc>
          <w:tcPr>
            <w:tcW w:w="3626"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Übermittlung in ein Drittland</w:t>
            </w:r>
          </w:p>
        </w:tc>
        <w:tc>
          <w:tcPr>
            <w:tcW w:w="5444"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 xml:space="preserve">☐ </w:t>
            </w:r>
            <w:r>
              <w:rPr>
                <w:rFonts w:eastAsia="Bahnschrift" w:cs="Bahnschrift"/>
                <w:b w:val="false"/>
                <w:bCs w:val="false"/>
                <w:color w:val="1E1D2D"/>
                <w:sz w:val="17"/>
                <w:szCs w:val="17"/>
              </w:rPr>
              <w:t>nein · ☐ ja, Grundlage:</w:t>
            </w:r>
          </w:p>
        </w:tc>
      </w:tr>
    </w:tbl>
    <w:p>
      <w:pPr>
        <w:pStyle w:val="Normal"/>
        <w:spacing w:lineRule="auto" w:line="120" w:before="0" w:after="140"/>
        <w:rPr/>
      </w:pPr>
      <w:r>
        <w:rPr/>
      </w:r>
    </w:p>
    <w:p>
      <w:pPr>
        <w:pStyle w:val="Heading3"/>
        <w:keepNext w:val="true"/>
        <w:rPr>
          <w:rFonts w:ascii="Bahnschrift" w:hAnsi="Bahnschrift" w:eastAsia="Bahnschrift" w:cs="Bahnschrift"/>
          <w:b/>
          <w:bCs/>
          <w:color w:val="1E1D2D"/>
          <w:sz w:val="23"/>
          <w:szCs w:val="23"/>
        </w:rPr>
      </w:pPr>
      <w:bookmarkStart w:id="24" w:name="h171"/>
      <w:r>
        <w:rPr>
          <w:rFonts w:eastAsia="Bahnschrift" w:cs="Bahnschrift" w:ascii="Bahnschrift" w:hAnsi="Bahnschrift"/>
          <w:b/>
          <w:bCs/>
          <w:color w:val="1E1D2D"/>
          <w:sz w:val="23"/>
          <w:szCs w:val="23"/>
        </w:rPr>
        <w:t>1.2 Freigegebene Funktionen</w:t>
      </w:r>
      <w:bookmarkEnd w:id="24"/>
    </w:p>
    <w:tbl>
      <w:tblPr>
        <w:tblW w:w="9070" w:type="dxa"/>
        <w:jc w:val="left"/>
        <w:tblInd w:w="0" w:type="dxa"/>
        <w:tblLayout w:type="fixed"/>
        <w:tblCellMar>
          <w:top w:w="60" w:type="dxa"/>
          <w:left w:w="90" w:type="dxa"/>
          <w:bottom w:w="60" w:type="dxa"/>
          <w:right w:w="90" w:type="dxa"/>
        </w:tblCellMar>
      </w:tblPr>
      <w:tblGrid>
        <w:gridCol w:w="7649"/>
        <w:gridCol w:w="1421"/>
      </w:tblGrid>
      <w:tr>
        <w:trPr>
          <w:tblHeader w:val="true"/>
          <w:cantSplit w:val="true"/>
        </w:trPr>
        <w:tc>
          <w:tcPr>
            <w:tcW w:w="7649" w:type="dxa"/>
            <w:tcBorders>
              <w:top w:val="single" w:sz="4" w:space="0" w:color="C9D6E6"/>
              <w:left w:val="single" w:sz="4" w:space="0" w:color="C9D6E6"/>
              <w:bottom w:val="single" w:sz="4" w:space="0" w:color="C9D6E6"/>
              <w:right w:val="single" w:sz="4" w:space="0" w:color="C9D6E6"/>
            </w:tcBorders>
            <w:shd w:fill="BACFE6" w:val="clear"/>
          </w:tcPr>
          <w:p>
            <w:pPr>
              <w:pStyle w:val="Normal"/>
              <w:spacing w:lineRule="auto" w:line="252" w:before="0" w:after="0"/>
              <w:rPr>
                <w:rFonts w:ascii="Bahnschrift" w:hAnsi="Bahnschrift" w:eastAsia="Bahnschrift" w:cs="Bahnschrift"/>
                <w:b/>
                <w:bCs/>
                <w:color w:val="1E1D2D"/>
                <w:sz w:val="17"/>
                <w:szCs w:val="17"/>
              </w:rPr>
            </w:pPr>
            <w:r>
              <w:rPr>
                <w:rFonts w:eastAsia="Bahnschrift" w:cs="Bahnschrift"/>
                <w:b/>
                <w:bCs/>
                <w:color w:val="1E1D2D"/>
                <w:sz w:val="17"/>
                <w:szCs w:val="17"/>
              </w:rPr>
              <w:t>Funktion</w:t>
            </w:r>
          </w:p>
        </w:tc>
        <w:tc>
          <w:tcPr>
            <w:tcW w:w="1421" w:type="dxa"/>
            <w:tcBorders>
              <w:top w:val="single" w:sz="4" w:space="0" w:color="C9D6E6"/>
              <w:left w:val="single" w:sz="4" w:space="0" w:color="C9D6E6"/>
              <w:bottom w:val="single" w:sz="4" w:space="0" w:color="C9D6E6"/>
              <w:right w:val="single" w:sz="4" w:space="0" w:color="C9D6E6"/>
            </w:tcBorders>
            <w:shd w:fill="BACFE6" w:val="clear"/>
          </w:tcPr>
          <w:p>
            <w:pPr>
              <w:pStyle w:val="Normal"/>
              <w:spacing w:lineRule="auto" w:line="252" w:before="0" w:after="0"/>
              <w:rPr>
                <w:rFonts w:ascii="Bahnschrift" w:hAnsi="Bahnschrift" w:eastAsia="Bahnschrift" w:cs="Bahnschrift"/>
                <w:b/>
                <w:bCs/>
                <w:color w:val="1E1D2D"/>
                <w:sz w:val="17"/>
                <w:szCs w:val="17"/>
              </w:rPr>
            </w:pPr>
            <w:r>
              <w:rPr>
                <w:rFonts w:eastAsia="Bahnschrift" w:cs="Bahnschrift"/>
                <w:b/>
                <w:bCs/>
                <w:color w:val="1E1D2D"/>
                <w:sz w:val="17"/>
                <w:szCs w:val="17"/>
              </w:rPr>
              <w:t>freigegeben</w:t>
            </w:r>
          </w:p>
        </w:tc>
      </w:tr>
      <w:tr>
        <w:trPr>
          <w:cantSplit w:val="true"/>
        </w:trPr>
        <w:tc>
          <w:tcPr>
            <w:tcW w:w="7649"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Chat-Assistent</w:t>
            </w:r>
          </w:p>
        </w:tc>
        <w:tc>
          <w:tcPr>
            <w:tcW w:w="1421"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w:t>
            </w:r>
          </w:p>
        </w:tc>
      </w:tr>
      <w:tr>
        <w:trPr>
          <w:cantSplit w:val="true"/>
        </w:trPr>
        <w:tc>
          <w:tcPr>
            <w:tcW w:w="7649" w:type="dxa"/>
            <w:tcBorders>
              <w:top w:val="single" w:sz="4" w:space="0" w:color="C9D6E6"/>
              <w:left w:val="single" w:sz="4" w:space="0" w:color="C9D6E6"/>
              <w:bottom w:val="single" w:sz="4" w:space="0" w:color="C9D6E6"/>
              <w:right w:val="single" w:sz="4" w:space="0" w:color="C9D6E6"/>
            </w:tcBorders>
            <w:shd w:fill="F7F9FC" w:val="clear"/>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Chat-Assistent im Microsoft-Teams-Bot</w:t>
            </w:r>
          </w:p>
        </w:tc>
        <w:tc>
          <w:tcPr>
            <w:tcW w:w="1421" w:type="dxa"/>
            <w:tcBorders>
              <w:top w:val="single" w:sz="4" w:space="0" w:color="C9D6E6"/>
              <w:left w:val="single" w:sz="4" w:space="0" w:color="C9D6E6"/>
              <w:bottom w:val="single" w:sz="4" w:space="0" w:color="C9D6E6"/>
              <w:right w:val="single" w:sz="4" w:space="0" w:color="C9D6E6"/>
            </w:tcBorders>
            <w:shd w:fill="F7F9FC" w:val="clear"/>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w:t>
            </w:r>
          </w:p>
        </w:tc>
      </w:tr>
      <w:tr>
        <w:trPr>
          <w:cantSplit w:val="true"/>
        </w:trPr>
        <w:tc>
          <w:tcPr>
            <w:tcW w:w="7649"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Projekterstellung aus Dokumenten</w:t>
            </w:r>
          </w:p>
        </w:tc>
        <w:tc>
          <w:tcPr>
            <w:tcW w:w="1421"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w:t>
            </w:r>
          </w:p>
        </w:tc>
      </w:tr>
      <w:tr>
        <w:trPr>
          <w:cantSplit w:val="true"/>
        </w:trPr>
        <w:tc>
          <w:tcPr>
            <w:tcW w:w="7649" w:type="dxa"/>
            <w:tcBorders>
              <w:top w:val="single" w:sz="4" w:space="0" w:color="C9D6E6"/>
              <w:left w:val="single" w:sz="4" w:space="0" w:color="C9D6E6"/>
              <w:bottom w:val="single" w:sz="4" w:space="0" w:color="C9D6E6"/>
              <w:right w:val="single" w:sz="4" w:space="0" w:color="C9D6E6"/>
            </w:tcBorders>
            <w:shd w:fill="F7F9FC" w:val="clear"/>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Textvorschläge in Projektfeldern</w:t>
            </w:r>
          </w:p>
        </w:tc>
        <w:tc>
          <w:tcPr>
            <w:tcW w:w="1421" w:type="dxa"/>
            <w:tcBorders>
              <w:top w:val="single" w:sz="4" w:space="0" w:color="C9D6E6"/>
              <w:left w:val="single" w:sz="4" w:space="0" w:color="C9D6E6"/>
              <w:bottom w:val="single" w:sz="4" w:space="0" w:color="C9D6E6"/>
              <w:right w:val="single" w:sz="4" w:space="0" w:color="C9D6E6"/>
            </w:tcBorders>
            <w:shd w:fill="F7F9FC" w:val="clear"/>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w:t>
            </w:r>
          </w:p>
        </w:tc>
      </w:tr>
      <w:tr>
        <w:trPr>
          <w:cantSplit w:val="true"/>
        </w:trPr>
        <w:tc>
          <w:tcPr>
            <w:tcW w:w="7649"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Struktur- und Meilensteinvorschläge</w:t>
            </w:r>
          </w:p>
        </w:tc>
        <w:tc>
          <w:tcPr>
            <w:tcW w:w="1421"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w:t>
            </w:r>
          </w:p>
        </w:tc>
      </w:tr>
      <w:tr>
        <w:trPr>
          <w:cantSplit w:val="true"/>
        </w:trPr>
        <w:tc>
          <w:tcPr>
            <w:tcW w:w="7649" w:type="dxa"/>
            <w:tcBorders>
              <w:top w:val="single" w:sz="4" w:space="0" w:color="C9D6E6"/>
              <w:left w:val="single" w:sz="4" w:space="0" w:color="C9D6E6"/>
              <w:bottom w:val="single" w:sz="4" w:space="0" w:color="C9D6E6"/>
              <w:right w:val="single" w:sz="4" w:space="0" w:color="C9D6E6"/>
            </w:tcBorders>
            <w:shd w:fill="F7F9FC" w:val="clear"/>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Vorschläge für Risiken und Chancen</w:t>
            </w:r>
          </w:p>
        </w:tc>
        <w:tc>
          <w:tcPr>
            <w:tcW w:w="1421" w:type="dxa"/>
            <w:tcBorders>
              <w:top w:val="single" w:sz="4" w:space="0" w:color="C9D6E6"/>
              <w:left w:val="single" w:sz="4" w:space="0" w:color="C9D6E6"/>
              <w:bottom w:val="single" w:sz="4" w:space="0" w:color="C9D6E6"/>
              <w:right w:val="single" w:sz="4" w:space="0" w:color="C9D6E6"/>
            </w:tcBorders>
            <w:shd w:fill="F7F9FC" w:val="clear"/>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w:t>
            </w:r>
          </w:p>
        </w:tc>
      </w:tr>
      <w:tr>
        <w:trPr>
          <w:cantSplit w:val="true"/>
        </w:trPr>
        <w:tc>
          <w:tcPr>
            <w:tcW w:w="7649"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Vorschläge für Maßnahmen</w:t>
            </w:r>
          </w:p>
        </w:tc>
        <w:tc>
          <w:tcPr>
            <w:tcW w:w="1421"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w:t>
            </w:r>
          </w:p>
        </w:tc>
      </w:tr>
      <w:tr>
        <w:trPr>
          <w:cantSplit w:val="true"/>
        </w:trPr>
        <w:tc>
          <w:tcPr>
            <w:tcW w:w="7649" w:type="dxa"/>
            <w:tcBorders>
              <w:top w:val="single" w:sz="4" w:space="0" w:color="C9D6E6"/>
              <w:left w:val="single" w:sz="4" w:space="0" w:color="C9D6E6"/>
              <w:bottom w:val="single" w:sz="4" w:space="0" w:color="C9D6E6"/>
              <w:right w:val="single" w:sz="4" w:space="0" w:color="C9D6E6"/>
            </w:tcBorders>
            <w:shd w:fill="F7F9FC" w:val="clear"/>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Wiki-Inhalte und Zeitstrahl-Beiträge</w:t>
            </w:r>
          </w:p>
        </w:tc>
        <w:tc>
          <w:tcPr>
            <w:tcW w:w="1421" w:type="dxa"/>
            <w:tcBorders>
              <w:top w:val="single" w:sz="4" w:space="0" w:color="C9D6E6"/>
              <w:left w:val="single" w:sz="4" w:space="0" w:color="C9D6E6"/>
              <w:bottom w:val="single" w:sz="4" w:space="0" w:color="C9D6E6"/>
              <w:right w:val="single" w:sz="4" w:space="0" w:color="C9D6E6"/>
            </w:tcBorders>
            <w:shd w:fill="F7F9FC" w:val="clear"/>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w:t>
            </w:r>
          </w:p>
        </w:tc>
      </w:tr>
      <w:tr>
        <w:trPr>
          <w:cantSplit w:val="true"/>
        </w:trPr>
        <w:tc>
          <w:tcPr>
            <w:tcW w:w="7649"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Widget-Agent für eigene Auswertungen (nur Administration)</w:t>
            </w:r>
          </w:p>
        </w:tc>
        <w:tc>
          <w:tcPr>
            <w:tcW w:w="1421"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w:t>
            </w:r>
          </w:p>
        </w:tc>
      </w:tr>
      <w:tr>
        <w:trPr>
          <w:cantSplit w:val="true"/>
        </w:trPr>
        <w:tc>
          <w:tcPr>
            <w:tcW w:w="7649" w:type="dxa"/>
            <w:tcBorders>
              <w:top w:val="single" w:sz="4" w:space="0" w:color="C9D6E6"/>
              <w:left w:val="single" w:sz="4" w:space="0" w:color="C9D6E6"/>
              <w:bottom w:val="single" w:sz="4" w:space="0" w:color="C9D6E6"/>
              <w:right w:val="single" w:sz="4" w:space="0" w:color="C9D6E6"/>
            </w:tcBorders>
            <w:shd w:fill="F7F9FC" w:val="clear"/>
          </w:tcPr>
          <w:p>
            <w:pPr>
              <w:pStyle w:val="Normal"/>
              <w:spacing w:lineRule="auto" w:line="252" w:before="0" w:after="0"/>
              <w:rPr>
                <w:rFonts w:ascii="Bahnschrift" w:hAnsi="Bahnschrift" w:eastAsia="Bahnschrift" w:cs="Bahnschrift"/>
                <w:b/>
                <w:bCs/>
                <w:color w:val="1E1D2D"/>
                <w:sz w:val="17"/>
                <w:szCs w:val="17"/>
              </w:rPr>
            </w:pPr>
            <w:r>
              <w:rPr>
                <w:rFonts w:eastAsia="Bahnschrift" w:cs="Bahnschrift"/>
                <w:b/>
                <w:bCs/>
                <w:color w:val="1E1D2D"/>
                <w:sz w:val="17"/>
                <w:szCs w:val="17"/>
              </w:rPr>
              <w:t>Auswertung von Besprechungsprotokollen</w:t>
            </w:r>
          </w:p>
        </w:tc>
        <w:tc>
          <w:tcPr>
            <w:tcW w:w="1421" w:type="dxa"/>
            <w:tcBorders>
              <w:top w:val="single" w:sz="4" w:space="0" w:color="C9D6E6"/>
              <w:left w:val="single" w:sz="4" w:space="0" w:color="C9D6E6"/>
              <w:bottom w:val="single" w:sz="4" w:space="0" w:color="C9D6E6"/>
              <w:right w:val="single" w:sz="4" w:space="0" w:color="C9D6E6"/>
            </w:tcBorders>
            <w:shd w:fill="F7F9FC" w:val="clear"/>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w:t>
            </w:r>
          </w:p>
        </w:tc>
      </w:tr>
      <w:tr>
        <w:trPr>
          <w:cantSplit w:val="true"/>
        </w:trPr>
        <w:tc>
          <w:tcPr>
            <w:tcW w:w="7649"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rFonts w:ascii="Bahnschrift" w:hAnsi="Bahnschrift" w:eastAsia="Bahnschrift" w:cs="Bahnschrift"/>
                <w:b/>
                <w:bCs/>
                <w:color w:val="1E1D2D"/>
                <w:sz w:val="17"/>
                <w:szCs w:val="17"/>
              </w:rPr>
            </w:pPr>
            <w:r>
              <w:rPr>
                <w:rFonts w:eastAsia="Bahnschrift" w:cs="Bahnschrift"/>
                <w:b/>
                <w:bCs/>
                <w:color w:val="1E1D2D"/>
                <w:sz w:val="17"/>
                <w:szCs w:val="17"/>
              </w:rPr>
              <w:t>Protokollentwurf aus Microsoft-Teams-Transkripten</w:t>
            </w:r>
          </w:p>
        </w:tc>
        <w:tc>
          <w:tcPr>
            <w:tcW w:w="1421"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w:t>
            </w:r>
          </w:p>
        </w:tc>
      </w:tr>
      <w:tr>
        <w:trPr>
          <w:cantSplit w:val="true"/>
        </w:trPr>
        <w:tc>
          <w:tcPr>
            <w:tcW w:w="7649" w:type="dxa"/>
            <w:tcBorders>
              <w:top w:val="single" w:sz="4" w:space="0" w:color="C9D6E6"/>
              <w:left w:val="single" w:sz="4" w:space="0" w:color="C9D6E6"/>
              <w:bottom w:val="single" w:sz="4" w:space="0" w:color="C9D6E6"/>
              <w:right w:val="single" w:sz="4" w:space="0" w:color="C9D6E6"/>
            </w:tcBorders>
            <w:shd w:fill="F7F9FC" w:val="clear"/>
          </w:tcPr>
          <w:p>
            <w:pPr>
              <w:pStyle w:val="Normal"/>
              <w:spacing w:lineRule="auto" w:line="252" w:before="0" w:after="0"/>
              <w:rPr>
                <w:rFonts w:ascii="Bahnschrift" w:hAnsi="Bahnschrift" w:eastAsia="Bahnschrift" w:cs="Bahnschrift"/>
                <w:b/>
                <w:bCs/>
                <w:color w:val="1E1D2D"/>
                <w:sz w:val="17"/>
                <w:szCs w:val="17"/>
              </w:rPr>
            </w:pPr>
            <w:r>
              <w:rPr>
                <w:rFonts w:eastAsia="Bahnschrift" w:cs="Bahnschrift"/>
                <w:b/>
                <w:bCs/>
                <w:color w:val="1E1D2D"/>
                <w:sz w:val="17"/>
                <w:szCs w:val="17"/>
              </w:rPr>
              <w:t>Projekt-Zusammenfassung</w:t>
            </w:r>
          </w:p>
        </w:tc>
        <w:tc>
          <w:tcPr>
            <w:tcW w:w="1421" w:type="dxa"/>
            <w:tcBorders>
              <w:top w:val="single" w:sz="4" w:space="0" w:color="C9D6E6"/>
              <w:left w:val="single" w:sz="4" w:space="0" w:color="C9D6E6"/>
              <w:bottom w:val="single" w:sz="4" w:space="0" w:color="C9D6E6"/>
              <w:right w:val="single" w:sz="4" w:space="0" w:color="C9D6E6"/>
            </w:tcBorders>
            <w:shd w:fill="F7F9FC" w:val="clear"/>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w:t>
            </w:r>
          </w:p>
        </w:tc>
      </w:tr>
      <w:tr>
        <w:trPr>
          <w:cantSplit w:val="true"/>
        </w:trPr>
        <w:tc>
          <w:tcPr>
            <w:tcW w:w="7649"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Schnittstelle für externe KI-Anwendungen</w:t>
            </w:r>
          </w:p>
        </w:tc>
        <w:tc>
          <w:tcPr>
            <w:tcW w:w="1421"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w:t>
            </w:r>
          </w:p>
        </w:tc>
      </w:tr>
    </w:tbl>
    <w:p>
      <w:pPr>
        <w:pStyle w:val="Normal"/>
        <w:spacing w:lineRule="auto" w:line="120" w:before="0" w:after="140"/>
        <w:rPr/>
      </w:pPr>
      <w:r>
        <w:rPr/>
      </w:r>
    </w:p>
    <w:tbl>
      <w:tblPr>
        <w:tblW w:w="9070" w:type="dxa"/>
        <w:jc w:val="left"/>
        <w:tblInd w:w="0" w:type="dxa"/>
        <w:tblLayout w:type="fixed"/>
        <w:tblCellMar>
          <w:top w:w="100" w:type="dxa"/>
          <w:left w:w="180" w:type="dxa"/>
          <w:bottom w:w="60" w:type="dxa"/>
          <w:right w:w="160" w:type="dxa"/>
        </w:tblCellMar>
      </w:tblPr>
      <w:tblGrid>
        <w:gridCol w:w="9070"/>
      </w:tblGrid>
      <w:tr>
        <w:trPr/>
        <w:tc>
          <w:tcPr>
            <w:tcW w:w="9070" w:type="dxa"/>
            <w:tcBorders>
              <w:left w:val="single" w:sz="18" w:space="0" w:color="1E1D2D"/>
            </w:tcBorders>
            <w:shd w:fill="EEF3F9" w:val="clear"/>
          </w:tcPr>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Die hervorgehobenen Funktionen verarbeiten regelmäßig Angaben zu benannten Personen (Protokollteilnehmer, Sprecher in Besprechungen, Projektbeteiligte) und sollten gesondert erörtert werden. Die Projekt-Zusammenfassung wird beim Öffnen der Projektübersicht automatisch erzeugt und ohne Übernahmeschritt gespeichert (Referenzdokumentation 3.9). Die Schnittstelle für externe KI-Anwendungen ist in neuen Mandanten ausgeschaltet; in bestehenden Mandanten kann sie eingeschaltet übernommen worden sein und ist dann, wenn sie nicht freigegeben wird, abzuschalten (Referenzdokumentation 9.6).</w:t>
            </w:r>
          </w:p>
        </w:tc>
      </w:tr>
    </w:tbl>
    <w:p>
      <w:pPr>
        <w:pStyle w:val="Normal"/>
        <w:spacing w:lineRule="auto" w:line="120" w:before="0" w:after="160"/>
        <w:rPr/>
      </w:pPr>
      <w:r>
        <w:rPr/>
      </w:r>
    </w:p>
    <w:p>
      <w:pPr>
        <w:pStyle w:val="Heading3"/>
        <w:keepNext w:val="true"/>
        <w:rPr>
          <w:rFonts w:ascii="Bahnschrift" w:hAnsi="Bahnschrift" w:eastAsia="Bahnschrift" w:cs="Bahnschrift"/>
          <w:b/>
          <w:bCs/>
          <w:color w:val="1E1D2D"/>
          <w:sz w:val="23"/>
          <w:szCs w:val="23"/>
        </w:rPr>
      </w:pPr>
      <w:bookmarkStart w:id="25" w:name="h172"/>
      <w:r>
        <w:rPr>
          <w:rFonts w:eastAsia="Bahnschrift" w:cs="Bahnschrift" w:ascii="Bahnschrift" w:hAnsi="Bahnschrift"/>
          <w:b/>
          <w:bCs/>
          <w:color w:val="1E1D2D"/>
          <w:sz w:val="23"/>
          <w:szCs w:val="23"/>
        </w:rPr>
        <w:t>1.3 Einstellungen</w:t>
      </w:r>
      <w:bookmarkEnd w:id="25"/>
    </w:p>
    <w:tbl>
      <w:tblPr>
        <w:tblW w:w="9070" w:type="dxa"/>
        <w:jc w:val="left"/>
        <w:tblInd w:w="0" w:type="dxa"/>
        <w:tblLayout w:type="fixed"/>
        <w:tblCellMar>
          <w:top w:w="60" w:type="dxa"/>
          <w:left w:w="90" w:type="dxa"/>
          <w:bottom w:w="60" w:type="dxa"/>
          <w:right w:w="90" w:type="dxa"/>
        </w:tblCellMar>
      </w:tblPr>
      <w:tblGrid>
        <w:gridCol w:w="6240"/>
        <w:gridCol w:w="2830"/>
      </w:tblGrid>
      <w:tr>
        <w:trPr>
          <w:tblHeader w:val="true"/>
          <w:cantSplit w:val="true"/>
        </w:trPr>
        <w:tc>
          <w:tcPr>
            <w:tcW w:w="6240" w:type="dxa"/>
            <w:tcBorders>
              <w:top w:val="single" w:sz="4" w:space="0" w:color="C9D6E6"/>
              <w:left w:val="single" w:sz="4" w:space="0" w:color="C9D6E6"/>
              <w:bottom w:val="single" w:sz="4" w:space="0" w:color="C9D6E6"/>
              <w:right w:val="single" w:sz="4" w:space="0" w:color="C9D6E6"/>
            </w:tcBorders>
            <w:shd w:fill="BACFE6" w:val="clear"/>
          </w:tcPr>
          <w:p>
            <w:pPr>
              <w:pStyle w:val="Normal"/>
              <w:spacing w:lineRule="auto" w:line="252" w:before="0" w:after="0"/>
              <w:rPr>
                <w:rFonts w:ascii="Bahnschrift" w:hAnsi="Bahnschrift" w:eastAsia="Bahnschrift" w:cs="Bahnschrift"/>
                <w:b/>
                <w:bCs/>
                <w:color w:val="1E1D2D"/>
                <w:sz w:val="17"/>
                <w:szCs w:val="17"/>
              </w:rPr>
            </w:pPr>
            <w:r>
              <w:rPr>
                <w:rFonts w:eastAsia="Bahnschrift" w:cs="Bahnschrift"/>
                <w:b/>
                <w:bCs/>
                <w:color w:val="1E1D2D"/>
                <w:sz w:val="17"/>
                <w:szCs w:val="17"/>
              </w:rPr>
              <w:t>Einstellung</w:t>
            </w:r>
          </w:p>
        </w:tc>
        <w:tc>
          <w:tcPr>
            <w:tcW w:w="2830" w:type="dxa"/>
            <w:tcBorders>
              <w:top w:val="single" w:sz="4" w:space="0" w:color="C9D6E6"/>
              <w:left w:val="single" w:sz="4" w:space="0" w:color="C9D6E6"/>
              <w:bottom w:val="single" w:sz="4" w:space="0" w:color="C9D6E6"/>
              <w:right w:val="single" w:sz="4" w:space="0" w:color="C9D6E6"/>
            </w:tcBorders>
            <w:shd w:fill="BACFE6" w:val="clear"/>
          </w:tcPr>
          <w:p>
            <w:pPr>
              <w:pStyle w:val="Normal"/>
              <w:spacing w:lineRule="auto" w:line="252" w:before="0" w:after="0"/>
              <w:rPr>
                <w:rFonts w:ascii="Bahnschrift" w:hAnsi="Bahnschrift" w:eastAsia="Bahnschrift" w:cs="Bahnschrift"/>
                <w:b/>
                <w:bCs/>
                <w:color w:val="1E1D2D"/>
                <w:sz w:val="17"/>
                <w:szCs w:val="17"/>
              </w:rPr>
            </w:pPr>
            <w:r>
              <w:rPr>
                <w:rFonts w:eastAsia="Bahnschrift" w:cs="Bahnschrift"/>
                <w:b/>
                <w:bCs/>
                <w:color w:val="1E1D2D"/>
                <w:sz w:val="17"/>
                <w:szCs w:val="17"/>
              </w:rPr>
              <w:t>Wert</w:t>
            </w:r>
          </w:p>
        </w:tc>
      </w:tr>
      <w:tr>
        <w:trPr>
          <w:cantSplit w:val="true"/>
        </w:trPr>
        <w:tc>
          <w:tcPr>
            <w:tcW w:w="6240"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Schreibende Aktionen des Assistenten zugelassen (Schalter „Änderungen erlauben“)</w:t>
            </w:r>
          </w:p>
        </w:tc>
        <w:tc>
          <w:tcPr>
            <w:tcW w:w="2830"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 xml:space="preserve">☐ </w:t>
            </w:r>
            <w:r>
              <w:rPr>
                <w:rFonts w:eastAsia="Bahnschrift" w:cs="Bahnschrift"/>
                <w:b w:val="false"/>
                <w:bCs w:val="false"/>
                <w:color w:val="1E1D2D"/>
                <w:sz w:val="17"/>
                <w:szCs w:val="17"/>
              </w:rPr>
              <w:t>nein · ☐ ja</w:t>
            </w:r>
          </w:p>
        </w:tc>
      </w:tr>
      <w:tr>
        <w:trPr>
          <w:cantSplit w:val="true"/>
        </w:trPr>
        <w:tc>
          <w:tcPr>
            <w:tcW w:w="6240" w:type="dxa"/>
            <w:tcBorders>
              <w:top w:val="single" w:sz="4" w:space="0" w:color="C9D6E6"/>
              <w:left w:val="single" w:sz="4" w:space="0" w:color="C9D6E6"/>
              <w:bottom w:val="single" w:sz="4" w:space="0" w:color="C9D6E6"/>
              <w:right w:val="single" w:sz="4" w:space="0" w:color="C9D6E6"/>
            </w:tcBorders>
            <w:shd w:fill="F7F9FC" w:val="clear"/>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Löschende Aktionen des Assistenten zugelassen (Schalter „Löschen erlauben“)</w:t>
            </w:r>
          </w:p>
        </w:tc>
        <w:tc>
          <w:tcPr>
            <w:tcW w:w="2830" w:type="dxa"/>
            <w:tcBorders>
              <w:top w:val="single" w:sz="4" w:space="0" w:color="C9D6E6"/>
              <w:left w:val="single" w:sz="4" w:space="0" w:color="C9D6E6"/>
              <w:bottom w:val="single" w:sz="4" w:space="0" w:color="C9D6E6"/>
              <w:right w:val="single" w:sz="4" w:space="0" w:color="C9D6E6"/>
            </w:tcBorders>
            <w:shd w:fill="F7F9FC" w:val="clear"/>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 xml:space="preserve">☐ </w:t>
            </w:r>
            <w:r>
              <w:rPr>
                <w:rFonts w:eastAsia="Bahnschrift" w:cs="Bahnschrift"/>
                <w:b w:val="false"/>
                <w:bCs w:val="false"/>
                <w:color w:val="1E1D2D"/>
                <w:sz w:val="17"/>
                <w:szCs w:val="17"/>
              </w:rPr>
              <w:t>nein · ☐ ja</w:t>
            </w:r>
          </w:p>
        </w:tc>
      </w:tr>
      <w:tr>
        <w:trPr>
          <w:cantSplit w:val="true"/>
        </w:trPr>
        <w:tc>
          <w:tcPr>
            <w:tcW w:w="6240"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pPr>
            <w:r>
              <w:rPr>
                <w:rFonts w:eastAsia="Bahnschrift" w:cs="Bahnschrift"/>
                <w:b w:val="false"/>
                <w:bCs w:val="false"/>
                <w:color w:val="1E1D2D"/>
                <w:sz w:val="17"/>
                <w:szCs w:val="17"/>
              </w:rPr>
              <w:t>Zugriffsstufe externer KI-Anwendungen (</w:t>
            </w:r>
            <w:r>
              <w:rPr>
                <w:rFonts w:eastAsia="Consolas" w:cs="Consolas" w:ascii="Consolas" w:hAnsi="Consolas"/>
                <w:b w:val="false"/>
                <w:bCs w:val="false"/>
                <w:color w:val="1E1D2D"/>
                <w:sz w:val="15"/>
                <w:szCs w:val="15"/>
              </w:rPr>
              <w:t>integrationMcp</w:t>
            </w:r>
            <w:r>
              <w:rPr>
                <w:rFonts w:eastAsia="Bahnschrift" w:cs="Bahnschrift"/>
                <w:b w:val="false"/>
                <w:bCs w:val="false"/>
                <w:color w:val="1E1D2D"/>
                <w:sz w:val="17"/>
                <w:szCs w:val="17"/>
              </w:rPr>
              <w:t xml:space="preserve"> je Rolle)</w:t>
            </w:r>
          </w:p>
        </w:tc>
        <w:tc>
          <w:tcPr>
            <w:tcW w:w="2830"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pPr>
            <w:r>
              <w:rPr>
                <w:rFonts w:eastAsia="Bahnschrift" w:cs="Bahnschrift"/>
                <w:b w:val="false"/>
                <w:bCs w:val="false"/>
                <w:color w:val="1E1D2D"/>
                <w:sz w:val="17"/>
                <w:szCs w:val="17"/>
              </w:rPr>
              <w:t xml:space="preserve">☐ </w:t>
            </w:r>
            <w:r>
              <w:rPr>
                <w:rFonts w:eastAsia="Bahnschrift" w:cs="Bahnschrift"/>
                <w:b w:val="false"/>
                <w:bCs w:val="false"/>
                <w:color w:val="1E1D2D"/>
                <w:sz w:val="17"/>
                <w:szCs w:val="17"/>
              </w:rPr>
              <w:t>nur lesend (</w:t>
            </w:r>
            <w:r>
              <w:rPr>
                <w:rFonts w:eastAsia="Consolas" w:cs="Consolas" w:ascii="Consolas" w:hAnsi="Consolas"/>
                <w:b w:val="false"/>
                <w:bCs w:val="false"/>
                <w:color w:val="1E1D2D"/>
                <w:sz w:val="15"/>
                <w:szCs w:val="15"/>
              </w:rPr>
              <w:t>view</w:t>
            </w:r>
            <w:r>
              <w:rPr>
                <w:rFonts w:eastAsia="Bahnschrift" w:cs="Bahnschrift"/>
                <w:b w:val="false"/>
                <w:bCs w:val="false"/>
                <w:color w:val="1E1D2D"/>
                <w:sz w:val="17"/>
                <w:szCs w:val="17"/>
              </w:rPr>
              <w:t>) · ☐ auch schreibend (</w:t>
            </w:r>
            <w:r>
              <w:rPr>
                <w:rFonts w:eastAsia="Consolas" w:cs="Consolas" w:ascii="Consolas" w:hAnsi="Consolas"/>
                <w:b w:val="false"/>
                <w:bCs w:val="false"/>
                <w:color w:val="1E1D2D"/>
                <w:sz w:val="15"/>
                <w:szCs w:val="15"/>
              </w:rPr>
              <w:t>edit</w:t>
            </w:r>
            <w:r>
              <w:rPr>
                <w:rFonts w:eastAsia="Bahnschrift" w:cs="Bahnschrift"/>
                <w:b w:val="false"/>
                <w:bCs w:val="false"/>
                <w:color w:val="1E1D2D"/>
                <w:sz w:val="17"/>
                <w:szCs w:val="17"/>
              </w:rPr>
              <w:t>)</w:t>
            </w:r>
          </w:p>
        </w:tc>
      </w:tr>
      <w:tr>
        <w:trPr>
          <w:cantSplit w:val="true"/>
        </w:trPr>
        <w:tc>
          <w:tcPr>
            <w:tcW w:w="6240" w:type="dxa"/>
            <w:tcBorders>
              <w:top w:val="single" w:sz="4" w:space="0" w:color="C9D6E6"/>
              <w:left w:val="single" w:sz="4" w:space="0" w:color="C9D6E6"/>
              <w:bottom w:val="single" w:sz="4" w:space="0" w:color="C9D6E6"/>
              <w:right w:val="single" w:sz="4" w:space="0" w:color="C9D6E6"/>
            </w:tcBorders>
            <w:shd w:fill="F7F9FC" w:val="clear"/>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Löschende Aktionen externer KI-Anwendungen zugelassen (Schalter „Löschende Werkzeuge erlauben“)</w:t>
            </w:r>
          </w:p>
        </w:tc>
        <w:tc>
          <w:tcPr>
            <w:tcW w:w="2830" w:type="dxa"/>
            <w:tcBorders>
              <w:top w:val="single" w:sz="4" w:space="0" w:color="C9D6E6"/>
              <w:left w:val="single" w:sz="4" w:space="0" w:color="C9D6E6"/>
              <w:bottom w:val="single" w:sz="4" w:space="0" w:color="C9D6E6"/>
              <w:right w:val="single" w:sz="4" w:space="0" w:color="C9D6E6"/>
            </w:tcBorders>
            <w:shd w:fill="F7F9FC" w:val="clear"/>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 xml:space="preserve">☐ </w:t>
            </w:r>
            <w:r>
              <w:rPr>
                <w:rFonts w:eastAsia="Bahnschrift" w:cs="Bahnschrift"/>
                <w:b w:val="false"/>
                <w:bCs w:val="false"/>
                <w:color w:val="1E1D2D"/>
                <w:sz w:val="17"/>
                <w:szCs w:val="17"/>
              </w:rPr>
              <w:t>nein · ☐ ja</w:t>
            </w:r>
          </w:p>
        </w:tc>
      </w:tr>
      <w:tr>
        <w:trPr>
          <w:cantSplit w:val="true"/>
        </w:trPr>
        <w:tc>
          <w:tcPr>
            <w:tcW w:w="6240"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Personenkreis mit schreibendem Zugriff über die Schnittstelle</w:t>
            </w:r>
          </w:p>
        </w:tc>
        <w:tc>
          <w:tcPr>
            <w:tcW w:w="2830"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pPr>
            <w:r>
              <w:rPr/>
            </w:r>
          </w:p>
        </w:tc>
      </w:tr>
      <w:tr>
        <w:trPr>
          <w:cantSplit w:val="true"/>
        </w:trPr>
        <w:tc>
          <w:tcPr>
            <w:tcW w:w="6240" w:type="dxa"/>
            <w:tcBorders>
              <w:top w:val="single" w:sz="4" w:space="0" w:color="C9D6E6"/>
              <w:left w:val="single" w:sz="4" w:space="0" w:color="C9D6E6"/>
              <w:bottom w:val="single" w:sz="4" w:space="0" w:color="C9D6E6"/>
              <w:right w:val="single" w:sz="4" w:space="0" w:color="C9D6E6"/>
            </w:tcBorders>
            <w:shd w:fill="F7F9FC" w:val="clear"/>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Befristung dieses Zugriffs bis</w:t>
            </w:r>
          </w:p>
        </w:tc>
        <w:tc>
          <w:tcPr>
            <w:tcW w:w="2830" w:type="dxa"/>
            <w:tcBorders>
              <w:top w:val="single" w:sz="4" w:space="0" w:color="C9D6E6"/>
              <w:left w:val="single" w:sz="4" w:space="0" w:color="C9D6E6"/>
              <w:bottom w:val="single" w:sz="4" w:space="0" w:color="C9D6E6"/>
              <w:right w:val="single" w:sz="4" w:space="0" w:color="C9D6E6"/>
            </w:tcBorders>
            <w:shd w:fill="F7F9FC" w:val="clear"/>
          </w:tcPr>
          <w:p>
            <w:pPr>
              <w:pStyle w:val="Normal"/>
              <w:spacing w:lineRule="auto" w:line="252" w:before="0" w:after="0"/>
              <w:rPr/>
            </w:pPr>
            <w:r>
              <w:rPr/>
            </w:r>
          </w:p>
        </w:tc>
      </w:tr>
      <w:tr>
        <w:trPr>
          <w:cantSplit w:val="true"/>
        </w:trPr>
        <w:tc>
          <w:tcPr>
            <w:tcW w:w="6240"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Höchstzahl der Verarbeitungsschritte je Vorgang („Maximale Schritte pro Antwort“)</w:t>
            </w:r>
          </w:p>
        </w:tc>
        <w:tc>
          <w:tcPr>
            <w:tcW w:w="2830"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pPr>
            <w:r>
              <w:rPr/>
            </w:r>
          </w:p>
        </w:tc>
      </w:tr>
      <w:tr>
        <w:trPr>
          <w:cantSplit w:val="true"/>
        </w:trPr>
        <w:tc>
          <w:tcPr>
            <w:tcW w:w="6240" w:type="dxa"/>
            <w:tcBorders>
              <w:top w:val="single" w:sz="4" w:space="0" w:color="C9D6E6"/>
              <w:left w:val="single" w:sz="4" w:space="0" w:color="C9D6E6"/>
              <w:bottom w:val="single" w:sz="4" w:space="0" w:color="C9D6E6"/>
              <w:right w:val="single" w:sz="4" w:space="0" w:color="C9D6E6"/>
            </w:tcBorders>
            <w:shd w:fill="F7F9FC" w:val="clear"/>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Monatliches Verbrauchsbudget je Person („Monatliches Token-Limit je Mitarbeitenden“)</w:t>
            </w:r>
          </w:p>
        </w:tc>
        <w:tc>
          <w:tcPr>
            <w:tcW w:w="2830" w:type="dxa"/>
            <w:tcBorders>
              <w:top w:val="single" w:sz="4" w:space="0" w:color="C9D6E6"/>
              <w:left w:val="single" w:sz="4" w:space="0" w:color="C9D6E6"/>
              <w:bottom w:val="single" w:sz="4" w:space="0" w:color="C9D6E6"/>
              <w:right w:val="single" w:sz="4" w:space="0" w:color="C9D6E6"/>
            </w:tcBorders>
            <w:shd w:fill="F7F9FC" w:val="clear"/>
          </w:tcPr>
          <w:p>
            <w:pPr>
              <w:pStyle w:val="Normal"/>
              <w:spacing w:lineRule="auto" w:line="252" w:before="0" w:after="0"/>
              <w:rPr/>
            </w:pPr>
            <w:r>
              <w:rPr/>
            </w:r>
          </w:p>
        </w:tc>
      </w:tr>
      <w:tr>
        <w:trPr>
          <w:cantSplit w:val="true"/>
        </w:trPr>
        <w:tc>
          <w:tcPr>
            <w:tcW w:w="6240"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Angepasste Anweisungen an das Modell</w:t>
            </w:r>
          </w:p>
        </w:tc>
        <w:tc>
          <w:tcPr>
            <w:tcW w:w="2830"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 xml:space="preserve">☐ </w:t>
            </w:r>
            <w:r>
              <w:rPr>
                <w:rFonts w:eastAsia="Bahnschrift" w:cs="Bahnschrift"/>
                <w:b w:val="false"/>
                <w:bCs w:val="false"/>
                <w:color w:val="1E1D2D"/>
                <w:sz w:val="17"/>
                <w:szCs w:val="17"/>
              </w:rPr>
              <w:t>keine · ☐ folgende:</w:t>
            </w:r>
          </w:p>
        </w:tc>
      </w:tr>
    </w:tbl>
    <w:p>
      <w:pPr>
        <w:pStyle w:val="Normal"/>
        <w:spacing w:lineRule="auto" w:line="120" w:before="0" w:after="140"/>
        <w:rPr/>
      </w:pPr>
      <w:r>
        <w:rPr/>
      </w:r>
    </w:p>
    <w:p>
      <w:pPr>
        <w:pStyle w:val="Heading3"/>
        <w:keepNext w:val="true"/>
        <w:rPr>
          <w:rFonts w:ascii="Bahnschrift" w:hAnsi="Bahnschrift" w:eastAsia="Bahnschrift" w:cs="Bahnschrift"/>
          <w:b/>
          <w:bCs/>
          <w:color w:val="1E1D2D"/>
          <w:sz w:val="23"/>
          <w:szCs w:val="23"/>
        </w:rPr>
      </w:pPr>
      <w:bookmarkStart w:id="26" w:name="h173"/>
      <w:r>
        <w:rPr>
          <w:rFonts w:eastAsia="Bahnschrift" w:cs="Bahnschrift" w:ascii="Bahnschrift" w:hAnsi="Bahnschrift"/>
          <w:b/>
          <w:bCs/>
          <w:color w:val="1E1D2D"/>
          <w:sz w:val="23"/>
          <w:szCs w:val="23"/>
        </w:rPr>
        <w:t>1.4 Berechtigte Rollen</w:t>
      </w:r>
      <w:bookmarkEnd w:id="26"/>
    </w:p>
    <w:tbl>
      <w:tblPr>
        <w:tblW w:w="9070" w:type="dxa"/>
        <w:jc w:val="left"/>
        <w:tblInd w:w="0" w:type="dxa"/>
        <w:tblLayout w:type="fixed"/>
        <w:tblCellMar>
          <w:top w:w="60" w:type="dxa"/>
          <w:left w:w="90" w:type="dxa"/>
          <w:bottom w:w="60" w:type="dxa"/>
          <w:right w:w="90" w:type="dxa"/>
        </w:tblCellMar>
      </w:tblPr>
      <w:tblGrid>
        <w:gridCol w:w="925"/>
        <w:gridCol w:w="3258"/>
        <w:gridCol w:w="3450"/>
        <w:gridCol w:w="1437"/>
      </w:tblGrid>
      <w:tr>
        <w:trPr>
          <w:tblHeader w:val="true"/>
          <w:cantSplit w:val="true"/>
        </w:trPr>
        <w:tc>
          <w:tcPr>
            <w:tcW w:w="925" w:type="dxa"/>
            <w:tcBorders>
              <w:top w:val="single" w:sz="4" w:space="0" w:color="C9D6E6"/>
              <w:left w:val="single" w:sz="4" w:space="0" w:color="C9D6E6"/>
              <w:bottom w:val="single" w:sz="4" w:space="0" w:color="C9D6E6"/>
              <w:right w:val="single" w:sz="4" w:space="0" w:color="C9D6E6"/>
            </w:tcBorders>
            <w:shd w:fill="BACFE6" w:val="clear"/>
          </w:tcPr>
          <w:p>
            <w:pPr>
              <w:pStyle w:val="Normal"/>
              <w:spacing w:lineRule="auto" w:line="252" w:before="0" w:after="0"/>
              <w:rPr>
                <w:rFonts w:ascii="Bahnschrift" w:hAnsi="Bahnschrift" w:eastAsia="Bahnschrift" w:cs="Bahnschrift"/>
                <w:b/>
                <w:bCs/>
                <w:color w:val="1E1D2D"/>
                <w:sz w:val="16"/>
                <w:szCs w:val="16"/>
              </w:rPr>
            </w:pPr>
            <w:r>
              <w:rPr>
                <w:rFonts w:eastAsia="Bahnschrift" w:cs="Bahnschrift"/>
                <w:b/>
                <w:bCs/>
                <w:color w:val="1E1D2D"/>
                <w:sz w:val="16"/>
                <w:szCs w:val="16"/>
              </w:rPr>
              <w:t>Rolle</w:t>
            </w:r>
          </w:p>
        </w:tc>
        <w:tc>
          <w:tcPr>
            <w:tcW w:w="3258" w:type="dxa"/>
            <w:tcBorders>
              <w:top w:val="single" w:sz="4" w:space="0" w:color="C9D6E6"/>
              <w:left w:val="single" w:sz="4" w:space="0" w:color="C9D6E6"/>
              <w:bottom w:val="single" w:sz="4" w:space="0" w:color="C9D6E6"/>
              <w:right w:val="single" w:sz="4" w:space="0" w:color="C9D6E6"/>
            </w:tcBorders>
            <w:shd w:fill="BACFE6" w:val="clear"/>
          </w:tcPr>
          <w:p>
            <w:pPr>
              <w:pStyle w:val="Normal"/>
              <w:spacing w:lineRule="auto" w:line="252" w:before="0" w:after="0"/>
              <w:rPr/>
            </w:pPr>
            <w:r>
              <w:rPr>
                <w:rFonts w:eastAsia="Bahnschrift" w:cs="Bahnschrift"/>
                <w:b/>
                <w:bCs/>
                <w:color w:val="1E1D2D"/>
                <w:sz w:val="16"/>
                <w:szCs w:val="16"/>
              </w:rPr>
              <w:t xml:space="preserve">KI-Funktionen (Stufe </w:t>
            </w:r>
            <w:r>
              <w:rPr>
                <w:rFonts w:eastAsia="Consolas" w:cs="Consolas" w:ascii="Consolas" w:hAnsi="Consolas"/>
                <w:b/>
                <w:bCs/>
                <w:color w:val="1E1D2D"/>
                <w:sz w:val="14"/>
                <w:szCs w:val="14"/>
              </w:rPr>
              <w:t>generativeAi</w:t>
            </w:r>
            <w:r>
              <w:rPr>
                <w:rFonts w:eastAsia="Bahnschrift" w:cs="Bahnschrift"/>
                <w:b/>
                <w:bCs/>
                <w:color w:val="1E1D2D"/>
                <w:sz w:val="16"/>
                <w:szCs w:val="16"/>
              </w:rPr>
              <w:t>)</w:t>
            </w:r>
          </w:p>
        </w:tc>
        <w:tc>
          <w:tcPr>
            <w:tcW w:w="3450" w:type="dxa"/>
            <w:tcBorders>
              <w:top w:val="single" w:sz="4" w:space="0" w:color="C9D6E6"/>
              <w:left w:val="single" w:sz="4" w:space="0" w:color="C9D6E6"/>
              <w:bottom w:val="single" w:sz="4" w:space="0" w:color="C9D6E6"/>
              <w:right w:val="single" w:sz="4" w:space="0" w:color="C9D6E6"/>
            </w:tcBorders>
            <w:shd w:fill="BACFE6" w:val="clear"/>
          </w:tcPr>
          <w:p>
            <w:pPr>
              <w:pStyle w:val="Normal"/>
              <w:spacing w:lineRule="auto" w:line="252" w:before="0" w:after="0"/>
              <w:rPr/>
            </w:pPr>
            <w:r>
              <w:rPr>
                <w:rFonts w:eastAsia="Bahnschrift" w:cs="Bahnschrift"/>
                <w:b/>
                <w:bCs/>
                <w:color w:val="1E1D2D"/>
                <w:sz w:val="16"/>
                <w:szCs w:val="16"/>
              </w:rPr>
              <w:t xml:space="preserve">Schnittstelle (Stufe </w:t>
            </w:r>
            <w:r>
              <w:rPr>
                <w:rFonts w:eastAsia="Consolas" w:cs="Consolas" w:ascii="Consolas" w:hAnsi="Consolas"/>
                <w:b/>
                <w:bCs/>
                <w:color w:val="1E1D2D"/>
                <w:sz w:val="14"/>
                <w:szCs w:val="14"/>
              </w:rPr>
              <w:t>integrationMcp</w:t>
            </w:r>
            <w:r>
              <w:rPr>
                <w:rFonts w:eastAsia="Bahnschrift" w:cs="Bahnschrift"/>
                <w:b/>
                <w:bCs/>
                <w:color w:val="1E1D2D"/>
                <w:sz w:val="16"/>
                <w:szCs w:val="16"/>
              </w:rPr>
              <w:t>)</w:t>
            </w:r>
          </w:p>
        </w:tc>
        <w:tc>
          <w:tcPr>
            <w:tcW w:w="1437" w:type="dxa"/>
            <w:tcBorders>
              <w:top w:val="single" w:sz="4" w:space="0" w:color="C9D6E6"/>
              <w:left w:val="single" w:sz="4" w:space="0" w:color="C9D6E6"/>
              <w:bottom w:val="single" w:sz="4" w:space="0" w:color="C9D6E6"/>
              <w:right w:val="single" w:sz="4" w:space="0" w:color="C9D6E6"/>
            </w:tcBorders>
            <w:shd w:fill="BACFE6" w:val="clear"/>
          </w:tcPr>
          <w:p>
            <w:pPr>
              <w:pStyle w:val="Normal"/>
              <w:spacing w:lineRule="auto" w:line="252" w:before="0" w:after="0"/>
              <w:rPr>
                <w:rFonts w:ascii="Bahnschrift" w:hAnsi="Bahnschrift" w:eastAsia="Bahnschrift" w:cs="Bahnschrift"/>
                <w:b/>
                <w:bCs/>
                <w:color w:val="1E1D2D"/>
                <w:sz w:val="16"/>
                <w:szCs w:val="16"/>
              </w:rPr>
            </w:pPr>
            <w:r>
              <w:rPr>
                <w:rFonts w:eastAsia="Bahnschrift" w:cs="Bahnschrift"/>
                <w:b/>
                <w:bCs/>
                <w:color w:val="1E1D2D"/>
                <w:sz w:val="16"/>
                <w:szCs w:val="16"/>
              </w:rPr>
              <w:t>Anzahl Personen</w:t>
            </w:r>
          </w:p>
        </w:tc>
      </w:tr>
      <w:tr>
        <w:trPr>
          <w:cantSplit w:val="true"/>
        </w:trPr>
        <w:tc>
          <w:tcPr>
            <w:tcW w:w="925"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pPr>
            <w:r>
              <w:rPr/>
            </w:r>
          </w:p>
        </w:tc>
        <w:tc>
          <w:tcPr>
            <w:tcW w:w="3258"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pPr>
            <w:r>
              <w:rPr/>
            </w:r>
          </w:p>
        </w:tc>
        <w:tc>
          <w:tcPr>
            <w:tcW w:w="3450"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pPr>
            <w:r>
              <w:rPr/>
            </w:r>
          </w:p>
        </w:tc>
        <w:tc>
          <w:tcPr>
            <w:tcW w:w="1437"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pPr>
            <w:r>
              <w:rPr/>
            </w:r>
          </w:p>
        </w:tc>
      </w:tr>
    </w:tbl>
    <w:p>
      <w:pPr>
        <w:pStyle w:val="Normal"/>
        <w:spacing w:lineRule="auto" w:line="120" w:before="0" w:after="140"/>
        <w:rPr/>
      </w:pPr>
      <w:r>
        <w:rPr/>
      </w:r>
    </w:p>
    <w:p>
      <w:pPr>
        <w:pStyle w:val="Normal"/>
        <w:spacing w:before="0" w:after="120"/>
        <w:rPr/>
      </w:pPr>
      <w:r>
        <w:rPr/>
      </w:r>
    </w:p>
    <w:p>
      <w:pPr>
        <w:pStyle w:val="Heading2"/>
        <w:keepNext w:val="true"/>
        <w:rPr>
          <w:rFonts w:ascii="Bahnschrift" w:hAnsi="Bahnschrift" w:eastAsia="Bahnschrift" w:cs="Bahnschrift"/>
          <w:b/>
          <w:bCs/>
          <w:color w:val="1E1D2D"/>
          <w:sz w:val="28"/>
          <w:szCs w:val="28"/>
        </w:rPr>
      </w:pPr>
      <w:bookmarkStart w:id="27" w:name="h174"/>
      <w:r>
        <w:rPr>
          <w:rFonts w:eastAsia="Bahnschrift" w:cs="Bahnschrift" w:ascii="Bahnschrift" w:hAnsi="Bahnschrift"/>
          <w:b/>
          <w:bCs/>
          <w:color w:val="1E1D2D"/>
          <w:sz w:val="28"/>
          <w:szCs w:val="28"/>
        </w:rPr>
        <w:t>Anlage 2: Zugelassene Anbieter und Anwendungen</w:t>
      </w:r>
      <w:bookmarkEnd w:id="27"/>
    </w:p>
    <w:p>
      <w:pPr>
        <w:pStyle w:val="Heading3"/>
        <w:keepNext w:val="true"/>
        <w:rPr>
          <w:rFonts w:ascii="Bahnschrift" w:hAnsi="Bahnschrift" w:eastAsia="Bahnschrift" w:cs="Bahnschrift"/>
          <w:b/>
          <w:bCs/>
          <w:color w:val="1E1D2D"/>
          <w:sz w:val="23"/>
          <w:szCs w:val="23"/>
        </w:rPr>
      </w:pPr>
      <w:bookmarkStart w:id="28" w:name="h175"/>
      <w:r>
        <w:rPr>
          <w:rFonts w:eastAsia="Bahnschrift" w:cs="Bahnschrift" w:ascii="Bahnschrift" w:hAnsi="Bahnschrift"/>
          <w:b/>
          <w:bCs/>
          <w:color w:val="1E1D2D"/>
          <w:sz w:val="23"/>
          <w:szCs w:val="23"/>
        </w:rPr>
        <w:t>2.1 KI-Anbieter</w:t>
      </w:r>
      <w:bookmarkEnd w:id="28"/>
    </w:p>
    <w:tbl>
      <w:tblPr>
        <w:tblW w:w="9070" w:type="dxa"/>
        <w:jc w:val="left"/>
        <w:tblInd w:w="0" w:type="dxa"/>
        <w:tblLayout w:type="fixed"/>
        <w:tblCellMar>
          <w:top w:w="60" w:type="dxa"/>
          <w:left w:w="90" w:type="dxa"/>
          <w:bottom w:w="60" w:type="dxa"/>
          <w:right w:w="90" w:type="dxa"/>
        </w:tblCellMar>
      </w:tblPr>
      <w:tblGrid>
        <w:gridCol w:w="2021"/>
        <w:gridCol w:w="2023"/>
        <w:gridCol w:w="2304"/>
        <w:gridCol w:w="2722"/>
      </w:tblGrid>
      <w:tr>
        <w:trPr>
          <w:tblHeader w:val="true"/>
          <w:cantSplit w:val="true"/>
        </w:trPr>
        <w:tc>
          <w:tcPr>
            <w:tcW w:w="2021" w:type="dxa"/>
            <w:tcBorders>
              <w:top w:val="single" w:sz="4" w:space="0" w:color="C9D6E6"/>
              <w:left w:val="single" w:sz="4" w:space="0" w:color="C9D6E6"/>
              <w:bottom w:val="single" w:sz="4" w:space="0" w:color="C9D6E6"/>
              <w:right w:val="single" w:sz="4" w:space="0" w:color="C9D6E6"/>
            </w:tcBorders>
            <w:shd w:fill="BACFE6" w:val="clear"/>
          </w:tcPr>
          <w:p>
            <w:pPr>
              <w:pStyle w:val="Normal"/>
              <w:spacing w:lineRule="auto" w:line="252" w:before="0" w:after="0"/>
              <w:rPr>
                <w:rFonts w:ascii="Bahnschrift" w:hAnsi="Bahnschrift" w:eastAsia="Bahnschrift" w:cs="Bahnschrift"/>
                <w:b/>
                <w:bCs/>
                <w:color w:val="1E1D2D"/>
                <w:sz w:val="16"/>
                <w:szCs w:val="16"/>
              </w:rPr>
            </w:pPr>
            <w:r>
              <w:rPr>
                <w:rFonts w:eastAsia="Bahnschrift" w:cs="Bahnschrift"/>
                <w:b/>
                <w:bCs/>
                <w:color w:val="1E1D2D"/>
                <w:sz w:val="16"/>
                <w:szCs w:val="16"/>
              </w:rPr>
              <w:t>Anbieter</w:t>
            </w:r>
          </w:p>
        </w:tc>
        <w:tc>
          <w:tcPr>
            <w:tcW w:w="2023" w:type="dxa"/>
            <w:tcBorders>
              <w:top w:val="single" w:sz="4" w:space="0" w:color="C9D6E6"/>
              <w:left w:val="single" w:sz="4" w:space="0" w:color="C9D6E6"/>
              <w:bottom w:val="single" w:sz="4" w:space="0" w:color="C9D6E6"/>
              <w:right w:val="single" w:sz="4" w:space="0" w:color="C9D6E6"/>
            </w:tcBorders>
            <w:shd w:fill="BACFE6" w:val="clear"/>
          </w:tcPr>
          <w:p>
            <w:pPr>
              <w:pStyle w:val="Normal"/>
              <w:spacing w:lineRule="auto" w:line="252" w:before="0" w:after="0"/>
              <w:rPr>
                <w:rFonts w:ascii="Bahnschrift" w:hAnsi="Bahnschrift" w:eastAsia="Bahnschrift" w:cs="Bahnschrift"/>
                <w:b/>
                <w:bCs/>
                <w:color w:val="1E1D2D"/>
                <w:sz w:val="16"/>
                <w:szCs w:val="16"/>
              </w:rPr>
            </w:pPr>
            <w:r>
              <w:rPr>
                <w:rFonts w:eastAsia="Bahnschrift" w:cs="Bahnschrift"/>
                <w:b/>
                <w:bCs/>
                <w:color w:val="1E1D2D"/>
                <w:sz w:val="16"/>
                <w:szCs w:val="16"/>
              </w:rPr>
              <w:t>Modell</w:t>
            </w:r>
          </w:p>
        </w:tc>
        <w:tc>
          <w:tcPr>
            <w:tcW w:w="2304" w:type="dxa"/>
            <w:tcBorders>
              <w:top w:val="single" w:sz="4" w:space="0" w:color="C9D6E6"/>
              <w:left w:val="single" w:sz="4" w:space="0" w:color="C9D6E6"/>
              <w:bottom w:val="single" w:sz="4" w:space="0" w:color="C9D6E6"/>
              <w:right w:val="single" w:sz="4" w:space="0" w:color="C9D6E6"/>
            </w:tcBorders>
            <w:shd w:fill="BACFE6" w:val="clear"/>
          </w:tcPr>
          <w:p>
            <w:pPr>
              <w:pStyle w:val="Normal"/>
              <w:spacing w:lineRule="auto" w:line="252" w:before="0" w:after="0"/>
              <w:rPr>
                <w:rFonts w:ascii="Bahnschrift" w:hAnsi="Bahnschrift" w:eastAsia="Bahnschrift" w:cs="Bahnschrift"/>
                <w:b/>
                <w:bCs/>
                <w:color w:val="1E1D2D"/>
                <w:sz w:val="16"/>
                <w:szCs w:val="16"/>
              </w:rPr>
            </w:pPr>
            <w:r>
              <w:rPr>
                <w:rFonts w:eastAsia="Bahnschrift" w:cs="Bahnschrift"/>
                <w:b/>
                <w:bCs/>
                <w:color w:val="1E1D2D"/>
                <w:sz w:val="16"/>
                <w:szCs w:val="16"/>
              </w:rPr>
              <w:t>Betriebsart</w:t>
            </w:r>
          </w:p>
        </w:tc>
        <w:tc>
          <w:tcPr>
            <w:tcW w:w="2722" w:type="dxa"/>
            <w:tcBorders>
              <w:top w:val="single" w:sz="4" w:space="0" w:color="C9D6E6"/>
              <w:left w:val="single" w:sz="4" w:space="0" w:color="C9D6E6"/>
              <w:bottom w:val="single" w:sz="4" w:space="0" w:color="C9D6E6"/>
              <w:right w:val="single" w:sz="4" w:space="0" w:color="C9D6E6"/>
            </w:tcBorders>
            <w:shd w:fill="BACFE6" w:val="clear"/>
          </w:tcPr>
          <w:p>
            <w:pPr>
              <w:pStyle w:val="Normal"/>
              <w:spacing w:lineRule="auto" w:line="252" w:before="0" w:after="0"/>
              <w:rPr>
                <w:rFonts w:ascii="Bahnschrift" w:hAnsi="Bahnschrift" w:eastAsia="Bahnschrift" w:cs="Bahnschrift"/>
                <w:b/>
                <w:bCs/>
                <w:color w:val="1E1D2D"/>
                <w:sz w:val="16"/>
                <w:szCs w:val="16"/>
              </w:rPr>
            </w:pPr>
            <w:r>
              <w:rPr>
                <w:rFonts w:eastAsia="Bahnschrift" w:cs="Bahnschrift"/>
                <w:b/>
                <w:bCs/>
                <w:color w:val="1E1D2D"/>
                <w:sz w:val="16"/>
                <w:szCs w:val="16"/>
              </w:rPr>
              <w:t>zugelassen am</w:t>
            </w:r>
          </w:p>
        </w:tc>
      </w:tr>
      <w:tr>
        <w:trPr>
          <w:cantSplit w:val="true"/>
        </w:trPr>
        <w:tc>
          <w:tcPr>
            <w:tcW w:w="2021"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pPr>
            <w:r>
              <w:rPr/>
            </w:r>
          </w:p>
        </w:tc>
        <w:tc>
          <w:tcPr>
            <w:tcW w:w="2023"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pPr>
            <w:r>
              <w:rPr/>
            </w:r>
          </w:p>
        </w:tc>
        <w:tc>
          <w:tcPr>
            <w:tcW w:w="2304"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pPr>
            <w:r>
              <w:rPr/>
            </w:r>
          </w:p>
        </w:tc>
        <w:tc>
          <w:tcPr>
            <w:tcW w:w="2722"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pPr>
            <w:r>
              <w:rPr/>
            </w:r>
          </w:p>
        </w:tc>
      </w:tr>
    </w:tbl>
    <w:p>
      <w:pPr>
        <w:pStyle w:val="Normal"/>
        <w:spacing w:lineRule="auto" w:line="120" w:before="0" w:after="140"/>
        <w:rPr/>
      </w:pPr>
      <w:r>
        <w:rPr/>
      </w:r>
    </w:p>
    <w:p>
      <w:pPr>
        <w:pStyle w:val="Heading3"/>
        <w:keepNext w:val="true"/>
        <w:rPr>
          <w:rFonts w:ascii="Bahnschrift" w:hAnsi="Bahnschrift" w:eastAsia="Bahnschrift" w:cs="Bahnschrift"/>
          <w:b/>
          <w:bCs/>
          <w:color w:val="1E1D2D"/>
          <w:sz w:val="23"/>
          <w:szCs w:val="23"/>
        </w:rPr>
      </w:pPr>
      <w:bookmarkStart w:id="29" w:name="h176"/>
      <w:r>
        <w:rPr>
          <w:rFonts w:eastAsia="Bahnschrift" w:cs="Bahnschrift" w:ascii="Bahnschrift" w:hAnsi="Bahnschrift"/>
          <w:b/>
          <w:bCs/>
          <w:color w:val="1E1D2D"/>
          <w:sz w:val="23"/>
          <w:szCs w:val="23"/>
        </w:rPr>
        <w:t>2.2 Externe KI-Anwendungen</w:t>
      </w:r>
      <w:bookmarkEnd w:id="29"/>
    </w:p>
    <w:tbl>
      <w:tblPr>
        <w:tblW w:w="9070" w:type="dxa"/>
        <w:jc w:val="left"/>
        <w:tblInd w:w="0" w:type="dxa"/>
        <w:tblLayout w:type="fixed"/>
        <w:tblCellMar>
          <w:top w:w="60" w:type="dxa"/>
          <w:left w:w="90" w:type="dxa"/>
          <w:bottom w:w="60" w:type="dxa"/>
          <w:right w:w="90" w:type="dxa"/>
        </w:tblCellMar>
      </w:tblPr>
      <w:tblGrid>
        <w:gridCol w:w="1238"/>
        <w:gridCol w:w="1285"/>
        <w:gridCol w:w="3209"/>
        <w:gridCol w:w="1669"/>
        <w:gridCol w:w="1669"/>
      </w:tblGrid>
      <w:tr>
        <w:trPr>
          <w:tblHeader w:val="true"/>
          <w:cantSplit w:val="true"/>
        </w:trPr>
        <w:tc>
          <w:tcPr>
            <w:tcW w:w="1238" w:type="dxa"/>
            <w:tcBorders>
              <w:top w:val="single" w:sz="4" w:space="0" w:color="C9D6E6"/>
              <w:left w:val="single" w:sz="4" w:space="0" w:color="C9D6E6"/>
              <w:bottom w:val="single" w:sz="4" w:space="0" w:color="C9D6E6"/>
              <w:right w:val="single" w:sz="4" w:space="0" w:color="C9D6E6"/>
            </w:tcBorders>
            <w:shd w:fill="BACFE6" w:val="clear"/>
          </w:tcPr>
          <w:p>
            <w:pPr>
              <w:pStyle w:val="Normal"/>
              <w:spacing w:lineRule="auto" w:line="252" w:before="0" w:after="0"/>
              <w:rPr>
                <w:rFonts w:ascii="Bahnschrift" w:hAnsi="Bahnschrift" w:eastAsia="Bahnschrift" w:cs="Bahnschrift"/>
                <w:b/>
                <w:bCs/>
                <w:color w:val="1E1D2D"/>
                <w:sz w:val="16"/>
                <w:szCs w:val="16"/>
              </w:rPr>
            </w:pPr>
            <w:r>
              <w:rPr>
                <w:rFonts w:eastAsia="Bahnschrift" w:cs="Bahnschrift"/>
                <w:b/>
                <w:bCs/>
                <w:color w:val="1E1D2D"/>
                <w:sz w:val="16"/>
                <w:szCs w:val="16"/>
              </w:rPr>
              <w:t>Anwendung</w:t>
            </w:r>
          </w:p>
        </w:tc>
        <w:tc>
          <w:tcPr>
            <w:tcW w:w="1285" w:type="dxa"/>
            <w:tcBorders>
              <w:top w:val="single" w:sz="4" w:space="0" w:color="C9D6E6"/>
              <w:left w:val="single" w:sz="4" w:space="0" w:color="C9D6E6"/>
              <w:bottom w:val="single" w:sz="4" w:space="0" w:color="C9D6E6"/>
              <w:right w:val="single" w:sz="4" w:space="0" w:color="C9D6E6"/>
            </w:tcBorders>
            <w:shd w:fill="BACFE6" w:val="clear"/>
          </w:tcPr>
          <w:p>
            <w:pPr>
              <w:pStyle w:val="Normal"/>
              <w:spacing w:lineRule="auto" w:line="252" w:before="0" w:after="0"/>
              <w:rPr>
                <w:rFonts w:ascii="Bahnschrift" w:hAnsi="Bahnschrift" w:eastAsia="Bahnschrift" w:cs="Bahnschrift"/>
                <w:b/>
                <w:bCs/>
                <w:color w:val="1E1D2D"/>
                <w:sz w:val="16"/>
                <w:szCs w:val="16"/>
              </w:rPr>
            </w:pPr>
            <w:r>
              <w:rPr>
                <w:rFonts w:eastAsia="Bahnschrift" w:cs="Bahnschrift"/>
                <w:b/>
                <w:bCs/>
                <w:color w:val="1E1D2D"/>
                <w:sz w:val="16"/>
                <w:szCs w:val="16"/>
              </w:rPr>
              <w:t>Hersteller</w:t>
            </w:r>
          </w:p>
        </w:tc>
        <w:tc>
          <w:tcPr>
            <w:tcW w:w="3209" w:type="dxa"/>
            <w:tcBorders>
              <w:top w:val="single" w:sz="4" w:space="0" w:color="C9D6E6"/>
              <w:left w:val="single" w:sz="4" w:space="0" w:color="C9D6E6"/>
              <w:bottom w:val="single" w:sz="4" w:space="0" w:color="C9D6E6"/>
              <w:right w:val="single" w:sz="4" w:space="0" w:color="C9D6E6"/>
            </w:tcBorders>
            <w:shd w:fill="BACFE6" w:val="clear"/>
          </w:tcPr>
          <w:p>
            <w:pPr>
              <w:pStyle w:val="Normal"/>
              <w:spacing w:lineRule="auto" w:line="252" w:before="0" w:after="0"/>
              <w:rPr>
                <w:rFonts w:ascii="Bahnschrift" w:hAnsi="Bahnschrift" w:eastAsia="Bahnschrift" w:cs="Bahnschrift"/>
                <w:b/>
                <w:bCs/>
                <w:color w:val="1E1D2D"/>
                <w:sz w:val="16"/>
                <w:szCs w:val="16"/>
              </w:rPr>
            </w:pPr>
            <w:r>
              <w:rPr>
                <w:rFonts w:eastAsia="Bahnschrift" w:cs="Bahnschrift"/>
                <w:b/>
                <w:bCs/>
                <w:color w:val="1E1D2D"/>
                <w:sz w:val="16"/>
                <w:szCs w:val="16"/>
              </w:rPr>
              <w:t>KI-Anbieter der Anwendung</w:t>
            </w:r>
          </w:p>
        </w:tc>
        <w:tc>
          <w:tcPr>
            <w:tcW w:w="1669" w:type="dxa"/>
            <w:tcBorders>
              <w:top w:val="single" w:sz="4" w:space="0" w:color="C9D6E6"/>
              <w:left w:val="single" w:sz="4" w:space="0" w:color="C9D6E6"/>
              <w:bottom w:val="single" w:sz="4" w:space="0" w:color="C9D6E6"/>
              <w:right w:val="single" w:sz="4" w:space="0" w:color="C9D6E6"/>
            </w:tcBorders>
            <w:shd w:fill="BACFE6" w:val="clear"/>
          </w:tcPr>
          <w:p>
            <w:pPr>
              <w:pStyle w:val="Normal"/>
              <w:spacing w:lineRule="auto" w:line="252" w:before="0" w:after="0"/>
              <w:rPr>
                <w:rFonts w:ascii="Bahnschrift" w:hAnsi="Bahnschrift" w:eastAsia="Bahnschrift" w:cs="Bahnschrift"/>
                <w:b/>
                <w:bCs/>
                <w:color w:val="1E1D2D"/>
                <w:sz w:val="16"/>
                <w:szCs w:val="16"/>
              </w:rPr>
            </w:pPr>
            <w:r>
              <w:rPr>
                <w:rFonts w:eastAsia="Bahnschrift" w:cs="Bahnschrift"/>
                <w:b/>
                <w:bCs/>
                <w:color w:val="1E1D2D"/>
                <w:sz w:val="16"/>
                <w:szCs w:val="16"/>
              </w:rPr>
              <w:t>Zugriffsstufe</w:t>
            </w:r>
          </w:p>
        </w:tc>
        <w:tc>
          <w:tcPr>
            <w:tcW w:w="1669" w:type="dxa"/>
            <w:tcBorders>
              <w:top w:val="single" w:sz="4" w:space="0" w:color="C9D6E6"/>
              <w:left w:val="single" w:sz="4" w:space="0" w:color="C9D6E6"/>
              <w:bottom w:val="single" w:sz="4" w:space="0" w:color="C9D6E6"/>
              <w:right w:val="single" w:sz="4" w:space="0" w:color="C9D6E6"/>
            </w:tcBorders>
            <w:shd w:fill="BACFE6" w:val="clear"/>
          </w:tcPr>
          <w:p>
            <w:pPr>
              <w:pStyle w:val="Normal"/>
              <w:spacing w:lineRule="auto" w:line="252" w:before="0" w:after="0"/>
              <w:rPr>
                <w:rFonts w:ascii="Bahnschrift" w:hAnsi="Bahnschrift" w:eastAsia="Bahnschrift" w:cs="Bahnschrift"/>
                <w:b/>
                <w:bCs/>
                <w:color w:val="1E1D2D"/>
                <w:sz w:val="16"/>
                <w:szCs w:val="16"/>
              </w:rPr>
            </w:pPr>
            <w:r>
              <w:rPr>
                <w:rFonts w:eastAsia="Bahnschrift" w:cs="Bahnschrift"/>
                <w:b/>
                <w:bCs/>
                <w:color w:val="1E1D2D"/>
                <w:sz w:val="16"/>
                <w:szCs w:val="16"/>
              </w:rPr>
              <w:t>zugelassen am</w:t>
            </w:r>
          </w:p>
        </w:tc>
      </w:tr>
      <w:tr>
        <w:trPr>
          <w:cantSplit w:val="true"/>
        </w:trPr>
        <w:tc>
          <w:tcPr>
            <w:tcW w:w="1238"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pPr>
            <w:r>
              <w:rPr/>
            </w:r>
          </w:p>
        </w:tc>
        <w:tc>
          <w:tcPr>
            <w:tcW w:w="1285"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pPr>
            <w:r>
              <w:rPr/>
            </w:r>
          </w:p>
        </w:tc>
        <w:tc>
          <w:tcPr>
            <w:tcW w:w="3209"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pPr>
            <w:r>
              <w:rPr/>
            </w:r>
          </w:p>
        </w:tc>
        <w:tc>
          <w:tcPr>
            <w:tcW w:w="1669"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pPr>
            <w:r>
              <w:rPr/>
            </w:r>
          </w:p>
        </w:tc>
        <w:tc>
          <w:tcPr>
            <w:tcW w:w="1669"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pPr>
            <w:r>
              <w:rPr/>
            </w:r>
          </w:p>
        </w:tc>
      </w:tr>
    </w:tbl>
    <w:p>
      <w:pPr>
        <w:pStyle w:val="Normal"/>
        <w:spacing w:lineRule="auto" w:line="120" w:before="0" w:after="140"/>
        <w:rPr/>
      </w:pPr>
      <w:r>
        <w:rPr/>
      </w:r>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Die Aufnahme weiterer Einträge richtet sich nach § 12 Absatz 3.</w:t>
      </w:r>
    </w:p>
    <w:p>
      <w:pPr>
        <w:pStyle w:val="Normal"/>
        <w:spacing w:before="0" w:after="120"/>
        <w:rPr/>
      </w:pPr>
      <w:r>
        <w:rPr/>
      </w:r>
    </w:p>
    <w:p>
      <w:pPr>
        <w:pStyle w:val="Heading2"/>
        <w:keepNext w:val="true"/>
        <w:rPr>
          <w:rFonts w:ascii="Bahnschrift" w:hAnsi="Bahnschrift" w:eastAsia="Bahnschrift" w:cs="Bahnschrift"/>
          <w:b/>
          <w:bCs/>
          <w:color w:val="1E1D2D"/>
          <w:sz w:val="28"/>
          <w:szCs w:val="28"/>
        </w:rPr>
      </w:pPr>
      <w:bookmarkStart w:id="30" w:name="h177"/>
      <w:r>
        <w:rPr>
          <w:rFonts w:eastAsia="Bahnschrift" w:cs="Bahnschrift" w:ascii="Bahnschrift" w:hAnsi="Bahnschrift"/>
          <w:b/>
          <w:bCs/>
          <w:color w:val="1E1D2D"/>
          <w:sz w:val="28"/>
          <w:szCs w:val="28"/>
        </w:rPr>
        <w:t>Anlage 3: Verfahren bei personenbezogener Auswertung</w:t>
      </w:r>
      <w:bookmarkEnd w:id="30"/>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Für eine Auswertung nach § 10 Absatz 4 gilt:</w:t>
      </w:r>
    </w:p>
    <w:p>
      <w:pPr>
        <w:pStyle w:val="ListParagraph"/>
        <w:numPr>
          <w:ilvl w:val="0"/>
          <w:numId w:val="46"/>
        </w:numPr>
        <w:spacing w:lineRule="auto" w:line="264" w:before="0" w:after="60"/>
        <w:rPr/>
      </w:pPr>
      <w:r>
        <w:rPr>
          <w:rFonts w:eastAsia="Bahnschrift" w:cs="Bahnschrift"/>
          <w:b/>
          <w:bCs/>
          <w:sz w:val="19"/>
          <w:szCs w:val="19"/>
        </w:rPr>
        <w:t>Antrag.</w:t>
      </w:r>
      <w:r>
        <w:rPr>
          <w:rFonts w:eastAsia="Bahnschrift" w:cs="Bahnschrift"/>
          <w:sz w:val="19"/>
          <w:szCs w:val="19"/>
        </w:rPr>
        <w:t xml:space="preserve"> [Stelle] stellt einen schriftlichen Antrag mit Darlegung der Tatsachen, des Zwecks, des beabsichtigten Umfangs und des Zeitraums.</w:t>
      </w:r>
    </w:p>
    <w:p>
      <w:pPr>
        <w:pStyle w:val="ListParagraph"/>
        <w:numPr>
          <w:ilvl w:val="0"/>
          <w:numId w:val="47"/>
        </w:numPr>
        <w:spacing w:lineRule="auto" w:line="264" w:before="0" w:after="60"/>
        <w:rPr/>
      </w:pPr>
      <w:r>
        <w:rPr>
          <w:rFonts w:eastAsia="Bahnschrift" w:cs="Bahnschrift"/>
          <w:b/>
          <w:bCs/>
          <w:sz w:val="19"/>
          <w:szCs w:val="19"/>
        </w:rPr>
        <w:t>Beteiligung.</w:t>
      </w:r>
      <w:r>
        <w:rPr>
          <w:rFonts w:eastAsia="Bahnschrift" w:cs="Bahnschrift"/>
          <w:sz w:val="19"/>
          <w:szCs w:val="19"/>
        </w:rPr>
        <w:t xml:space="preserve"> Der Betriebsrat und der Datenschutzbeauftragte werden vor Beginn unterrichtet. Der Betriebsrat kann ein Mitglied zur Begleitung benennen.</w:t>
      </w:r>
    </w:p>
    <w:p>
      <w:pPr>
        <w:pStyle w:val="ListParagraph"/>
        <w:numPr>
          <w:ilvl w:val="0"/>
          <w:numId w:val="48"/>
        </w:numPr>
        <w:spacing w:lineRule="auto" w:line="264" w:before="0" w:after="60"/>
        <w:rPr/>
      </w:pPr>
      <w:r>
        <w:rPr>
          <w:rFonts w:eastAsia="Bahnschrift" w:cs="Bahnschrift"/>
          <w:b/>
          <w:bCs/>
          <w:sz w:val="19"/>
          <w:szCs w:val="19"/>
        </w:rPr>
        <w:t>Zustimmung.</w:t>
      </w:r>
      <w:r>
        <w:rPr>
          <w:rFonts w:eastAsia="Bahnschrift" w:cs="Bahnschrift"/>
          <w:sz w:val="19"/>
          <w:szCs w:val="19"/>
        </w:rPr>
        <w:t xml:space="preserve"> Die Auswertung beginnt erst nach Zustimmung des Betriebsrats. Bei Gefahr im Verzug kann sie begonnen werden; die Zustimmung ist unverzüglich nachzuholen.</w:t>
      </w:r>
    </w:p>
    <w:p>
      <w:pPr>
        <w:pStyle w:val="ListParagraph"/>
        <w:numPr>
          <w:ilvl w:val="0"/>
          <w:numId w:val="49"/>
        </w:numPr>
        <w:spacing w:lineRule="auto" w:line="264" w:before="0" w:after="60"/>
        <w:rPr/>
      </w:pPr>
      <w:r>
        <w:rPr>
          <w:rFonts w:eastAsia="Bahnschrift" w:cs="Bahnschrift"/>
          <w:b/>
          <w:bCs/>
          <w:sz w:val="19"/>
          <w:szCs w:val="19"/>
        </w:rPr>
        <w:t>Durchführung.</w:t>
      </w:r>
      <w:r>
        <w:rPr>
          <w:rFonts w:eastAsia="Bahnschrift" w:cs="Bahnschrift"/>
          <w:sz w:val="19"/>
          <w:szCs w:val="19"/>
        </w:rPr>
        <w:t xml:space="preserve"> Die Auswertung erfolgt nach dem Vier-Augen-Prinzip durch [Stelle], beschränkt auf den beantragten Umfang und Zeitraum.</w:t>
      </w:r>
    </w:p>
    <w:p>
      <w:pPr>
        <w:pStyle w:val="ListParagraph"/>
        <w:numPr>
          <w:ilvl w:val="0"/>
          <w:numId w:val="50"/>
        </w:numPr>
        <w:spacing w:lineRule="auto" w:line="264" w:before="0" w:after="60"/>
        <w:rPr/>
      </w:pPr>
      <w:r>
        <w:rPr>
          <w:rFonts w:eastAsia="Bahnschrift" w:cs="Bahnschrift"/>
          <w:b/>
          <w:bCs/>
          <w:sz w:val="19"/>
          <w:szCs w:val="19"/>
        </w:rPr>
        <w:t>Dokumentation.</w:t>
      </w:r>
      <w:r>
        <w:rPr>
          <w:rFonts w:eastAsia="Bahnschrift" w:cs="Bahnschrift"/>
          <w:sz w:val="19"/>
          <w:szCs w:val="19"/>
        </w:rPr>
        <w:t xml:space="preserve"> Anlass, Umfang, beteiligte Personen, Ergebnis und Verbleib der Auswertung werden schriftlich festgehalten. Der Betriebsrat erhält eine Ausfertigung.</w:t>
      </w:r>
    </w:p>
    <w:p>
      <w:pPr>
        <w:pStyle w:val="ListParagraph"/>
        <w:numPr>
          <w:ilvl w:val="0"/>
          <w:numId w:val="51"/>
        </w:numPr>
        <w:spacing w:lineRule="auto" w:line="264" w:before="0" w:after="60"/>
        <w:rPr/>
      </w:pPr>
      <w:r>
        <w:rPr>
          <w:rFonts w:eastAsia="Bahnschrift" w:cs="Bahnschrift"/>
          <w:b/>
          <w:bCs/>
          <w:sz w:val="19"/>
          <w:szCs w:val="19"/>
        </w:rPr>
        <w:t>Unterrichtung.</w:t>
      </w:r>
      <w:r>
        <w:rPr>
          <w:rFonts w:eastAsia="Bahnschrift" w:cs="Bahnschrift"/>
          <w:sz w:val="19"/>
          <w:szCs w:val="19"/>
        </w:rPr>
        <w:t xml:space="preserve"> Die betroffene Person wird nach § 10 Absatz 5 unterrichtet und erhält Gelegenheit zur Stellungnahme.</w:t>
      </w:r>
    </w:p>
    <w:p>
      <w:pPr>
        <w:pStyle w:val="ListParagraph"/>
        <w:numPr>
          <w:ilvl w:val="0"/>
          <w:numId w:val="52"/>
        </w:numPr>
        <w:spacing w:lineRule="auto" w:line="264" w:before="0" w:after="60"/>
        <w:rPr/>
      </w:pPr>
      <w:r>
        <w:rPr>
          <w:rFonts w:eastAsia="Bahnschrift" w:cs="Bahnschrift"/>
          <w:b/>
          <w:bCs/>
          <w:sz w:val="19"/>
          <w:szCs w:val="19"/>
        </w:rPr>
        <w:t>Löschung.</w:t>
      </w:r>
      <w:r>
        <w:rPr>
          <w:rFonts w:eastAsia="Bahnschrift" w:cs="Bahnschrift"/>
          <w:sz w:val="19"/>
          <w:szCs w:val="19"/>
        </w:rPr>
        <w:t xml:space="preserve"> Auswertungsergebnisse werden gelöscht, sobald sie für den Zweck nicht mehr erforderlich sind, spätestens nach [… Monaten].</w:t>
      </w:r>
    </w:p>
    <w:p>
      <w:pPr>
        <w:pStyle w:val="Normal"/>
        <w:spacing w:lineRule="auto" w:line="120" w:before="0" w:after="60"/>
        <w:rPr/>
      </w:pPr>
      <w:r>
        <w:rPr/>
      </w:r>
    </w:p>
    <w:p>
      <w:pPr>
        <w:pStyle w:val="Normal"/>
        <w:spacing w:before="0" w:after="120"/>
        <w:rPr/>
      </w:pPr>
      <w:r>
        <w:rPr/>
      </w:r>
    </w:p>
    <w:p>
      <w:pPr>
        <w:pStyle w:val="Heading2"/>
        <w:keepNext w:val="true"/>
        <w:rPr>
          <w:rFonts w:ascii="Bahnschrift" w:hAnsi="Bahnschrift" w:eastAsia="Bahnschrift" w:cs="Bahnschrift"/>
          <w:b/>
          <w:bCs/>
          <w:color w:val="1E1D2D"/>
          <w:sz w:val="28"/>
          <w:szCs w:val="28"/>
        </w:rPr>
      </w:pPr>
      <w:bookmarkStart w:id="31" w:name="h178"/>
      <w:r>
        <w:rPr>
          <w:rFonts w:eastAsia="Bahnschrift" w:cs="Bahnschrift" w:ascii="Bahnschrift" w:hAnsi="Bahnschrift"/>
          <w:b/>
          <w:bCs/>
          <w:color w:val="1E1D2D"/>
          <w:sz w:val="28"/>
          <w:szCs w:val="28"/>
        </w:rPr>
        <w:t>Hinweise zur Verwendung dieser Vorlage</w:t>
      </w:r>
      <w:bookmarkEnd w:id="31"/>
    </w:p>
    <w:p>
      <w:pPr>
        <w:pStyle w:val="Heading3"/>
        <w:keepNext w:val="true"/>
        <w:rPr>
          <w:rFonts w:ascii="Bahnschrift" w:hAnsi="Bahnschrift" w:eastAsia="Bahnschrift" w:cs="Bahnschrift"/>
          <w:b/>
          <w:bCs/>
          <w:color w:val="1E1D2D"/>
          <w:sz w:val="23"/>
          <w:szCs w:val="23"/>
        </w:rPr>
      </w:pPr>
      <w:bookmarkStart w:id="32" w:name="h179"/>
      <w:r>
        <w:rPr>
          <w:rFonts w:eastAsia="Bahnschrift" w:cs="Bahnschrift" w:ascii="Bahnschrift" w:hAnsi="Bahnschrift"/>
          <w:b/>
          <w:bCs/>
          <w:color w:val="1E1D2D"/>
          <w:sz w:val="23"/>
          <w:szCs w:val="23"/>
        </w:rPr>
        <w:t>Was eine Eigenschaft des Produkts abbildet</w:t>
      </w:r>
      <w:bookmarkEnd w:id="32"/>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Die folgenden Regelungen entsprechen der Funktionsweise von WORKSPACE.PM. Sie lassen sich mit den Mitteln des Produkts einhalten; wo dafür eine Einstellung erforderlich ist, nennt sie die rechte Spalte. Sie sollten unverändert übernommen werden, damit Vereinbarung und technische Umsetzung übereinstimmen:</w:t>
      </w:r>
    </w:p>
    <w:tbl>
      <w:tblPr>
        <w:tblW w:w="9070" w:type="dxa"/>
        <w:jc w:val="left"/>
        <w:tblInd w:w="0" w:type="dxa"/>
        <w:tblLayout w:type="fixed"/>
        <w:tblCellMar>
          <w:top w:w="60" w:type="dxa"/>
          <w:left w:w="90" w:type="dxa"/>
          <w:bottom w:w="60" w:type="dxa"/>
          <w:right w:w="90" w:type="dxa"/>
        </w:tblCellMar>
      </w:tblPr>
      <w:tblGrid>
        <w:gridCol w:w="3324"/>
        <w:gridCol w:w="5746"/>
      </w:tblGrid>
      <w:tr>
        <w:trPr>
          <w:tblHeader w:val="true"/>
          <w:cantSplit w:val="true"/>
        </w:trPr>
        <w:tc>
          <w:tcPr>
            <w:tcW w:w="3324" w:type="dxa"/>
            <w:tcBorders>
              <w:top w:val="single" w:sz="4" w:space="0" w:color="C9D6E6"/>
              <w:left w:val="single" w:sz="4" w:space="0" w:color="C9D6E6"/>
              <w:bottom w:val="single" w:sz="4" w:space="0" w:color="C9D6E6"/>
              <w:right w:val="single" w:sz="4" w:space="0" w:color="C9D6E6"/>
            </w:tcBorders>
            <w:shd w:fill="BACFE6" w:val="clear"/>
          </w:tcPr>
          <w:p>
            <w:pPr>
              <w:pStyle w:val="Normal"/>
              <w:spacing w:lineRule="auto" w:line="252" w:before="0" w:after="0"/>
              <w:rPr>
                <w:rFonts w:ascii="Bahnschrift" w:hAnsi="Bahnschrift" w:eastAsia="Bahnschrift" w:cs="Bahnschrift"/>
                <w:b/>
                <w:bCs/>
                <w:color w:val="1E1D2D"/>
                <w:sz w:val="17"/>
                <w:szCs w:val="17"/>
              </w:rPr>
            </w:pPr>
            <w:r>
              <w:rPr>
                <w:rFonts w:eastAsia="Bahnschrift" w:cs="Bahnschrift"/>
                <w:b/>
                <w:bCs/>
                <w:color w:val="1E1D2D"/>
                <w:sz w:val="17"/>
                <w:szCs w:val="17"/>
              </w:rPr>
              <w:t>Regelung</w:t>
            </w:r>
          </w:p>
        </w:tc>
        <w:tc>
          <w:tcPr>
            <w:tcW w:w="5746" w:type="dxa"/>
            <w:tcBorders>
              <w:top w:val="single" w:sz="4" w:space="0" w:color="C9D6E6"/>
              <w:left w:val="single" w:sz="4" w:space="0" w:color="C9D6E6"/>
              <w:bottom w:val="single" w:sz="4" w:space="0" w:color="C9D6E6"/>
              <w:right w:val="single" w:sz="4" w:space="0" w:color="C9D6E6"/>
            </w:tcBorders>
            <w:shd w:fill="BACFE6" w:val="clear"/>
          </w:tcPr>
          <w:p>
            <w:pPr>
              <w:pStyle w:val="Normal"/>
              <w:spacing w:lineRule="auto" w:line="252" w:before="0" w:after="0"/>
              <w:rPr>
                <w:rFonts w:ascii="Bahnschrift" w:hAnsi="Bahnschrift" w:eastAsia="Bahnschrift" w:cs="Bahnschrift"/>
                <w:b/>
                <w:bCs/>
                <w:color w:val="1E1D2D"/>
                <w:sz w:val="17"/>
                <w:szCs w:val="17"/>
              </w:rPr>
            </w:pPr>
            <w:r>
              <w:rPr>
                <w:rFonts w:eastAsia="Bahnschrift" w:cs="Bahnschrift"/>
                <w:b/>
                <w:bCs/>
                <w:color w:val="1E1D2D"/>
                <w:sz w:val="17"/>
                <w:szCs w:val="17"/>
              </w:rPr>
              <w:t>Entsprechung im Produkt</w:t>
            </w:r>
          </w:p>
        </w:tc>
      </w:tr>
      <w:tr>
        <w:trPr>
          <w:cantSplit w:val="true"/>
        </w:trPr>
        <w:tc>
          <w:tcPr>
            <w:tcW w:w="3324"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 7 Abs. 2 Nr. 1: Zugriff nur im Rahmen der Berechtigungen</w:t>
            </w:r>
          </w:p>
        </w:tc>
        <w:tc>
          <w:tcPr>
            <w:tcW w:w="5746"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Werkzeuge laufen durch dieselbe Rechteprüfung wie die Oberfläche, Mandantentrennung auf Datenbankebene; die für alle Projektleser gespeicherte Projekt-Zusammenfassung enthält nur Bereiche, die jeder mit Leserecht am Projekt sieht (Referenzdokumentation 3.9)</w:t>
            </w:r>
          </w:p>
        </w:tc>
      </w:tr>
      <w:tr>
        <w:trPr>
          <w:cantSplit w:val="true"/>
        </w:trPr>
        <w:tc>
          <w:tcPr>
            <w:tcW w:w="3324" w:type="dxa"/>
            <w:tcBorders>
              <w:top w:val="single" w:sz="4" w:space="0" w:color="C9D6E6"/>
              <w:left w:val="single" w:sz="4" w:space="0" w:color="C9D6E6"/>
              <w:bottom w:val="single" w:sz="4" w:space="0" w:color="C9D6E6"/>
              <w:right w:val="single" w:sz="4" w:space="0" w:color="C9D6E6"/>
            </w:tcBorders>
            <w:shd w:fill="F7F9FC" w:val="clear"/>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 7 Abs. 2 Nr. 2: Bestätigung vor Änderung</w:t>
            </w:r>
          </w:p>
        </w:tc>
        <w:tc>
          <w:tcPr>
            <w:tcW w:w="5746" w:type="dxa"/>
            <w:tcBorders>
              <w:top w:val="single" w:sz="4" w:space="0" w:color="C9D6E6"/>
              <w:left w:val="single" w:sz="4" w:space="0" w:color="C9D6E6"/>
              <w:bottom w:val="single" w:sz="4" w:space="0" w:color="C9D6E6"/>
              <w:right w:val="single" w:sz="4" w:space="0" w:color="C9D6E6"/>
            </w:tcBorders>
            <w:shd w:fill="F7F9FC" w:val="clear"/>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jede schreibende Aktion des Assistenten wird einzeln angezeigt und serverseitig gegen die erteilte Bestätigung geprüft; schreibende Aktionen über die Schnittstelle werden nicht in WORKSPACE.PM bestätigt, ob und wie, bestimmt die externe Anwendung (siehe § 8 Abs. 2)</w:t>
            </w:r>
          </w:p>
        </w:tc>
      </w:tr>
      <w:tr>
        <w:trPr>
          <w:cantSplit w:val="true"/>
        </w:trPr>
        <w:tc>
          <w:tcPr>
            <w:tcW w:w="3324"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 7 Abs. 2 Nr. 3: Kennzeichnung</w:t>
            </w:r>
          </w:p>
        </w:tc>
        <w:tc>
          <w:tcPr>
            <w:tcW w:w="5746"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pPr>
            <w:r>
              <w:rPr>
                <w:rFonts w:eastAsia="Bahnschrift" w:cs="Bahnschrift"/>
                <w:b w:val="false"/>
                <w:bCs w:val="false"/>
                <w:color w:val="1E1D2D"/>
                <w:sz w:val="17"/>
                <w:szCs w:val="17"/>
              </w:rPr>
              <w:t xml:space="preserve">das Änderungsprotokoll führt eine Herkunftsangabe mit den Werten </w:t>
            </w:r>
            <w:r>
              <w:rPr>
                <w:rFonts w:eastAsia="Consolas" w:cs="Consolas" w:ascii="Consolas" w:hAnsi="Consolas"/>
                <w:b w:val="false"/>
                <w:bCs w:val="false"/>
                <w:color w:val="1E1D2D"/>
                <w:sz w:val="15"/>
                <w:szCs w:val="15"/>
              </w:rPr>
              <w:t>assistant</w:t>
            </w:r>
            <w:r>
              <w:rPr>
                <w:rFonts w:eastAsia="Bahnschrift" w:cs="Bahnschrift"/>
                <w:b w:val="false"/>
                <w:bCs w:val="false"/>
                <w:color w:val="1E1D2D"/>
                <w:sz w:val="17"/>
                <w:szCs w:val="17"/>
              </w:rPr>
              <w:t xml:space="preserve"> und </w:t>
            </w:r>
            <w:r>
              <w:rPr>
                <w:rFonts w:eastAsia="Consolas" w:cs="Consolas" w:ascii="Consolas" w:hAnsi="Consolas"/>
                <w:b w:val="false"/>
                <w:bCs w:val="false"/>
                <w:color w:val="1E1D2D"/>
                <w:sz w:val="15"/>
                <w:szCs w:val="15"/>
              </w:rPr>
              <w:t>mcp</w:t>
            </w:r>
            <w:r>
              <w:rPr>
                <w:rFonts w:eastAsia="Bahnschrift" w:cs="Bahnschrift"/>
                <w:b w:val="false"/>
                <w:bCs w:val="false"/>
                <w:color w:val="1E1D2D"/>
                <w:sz w:val="17"/>
                <w:szCs w:val="17"/>
              </w:rPr>
              <w:t xml:space="preserve"> (mit Angabe der Anwendung); erfasst sind Änderungen, soweit die jeweilige Fachfunktion einen Protokolleintrag schreibt (Referenzdokumentation 8.2); übernommene Vorschläge der erzeugenden Funktionen tragen keine Kennzeichnung (Referenzdokumentation 11.3)</w:t>
            </w:r>
          </w:p>
        </w:tc>
      </w:tr>
      <w:tr>
        <w:trPr>
          <w:cantSplit w:val="true"/>
        </w:trPr>
        <w:tc>
          <w:tcPr>
            <w:tcW w:w="3324" w:type="dxa"/>
            <w:tcBorders>
              <w:top w:val="single" w:sz="4" w:space="0" w:color="C9D6E6"/>
              <w:left w:val="single" w:sz="4" w:space="0" w:color="C9D6E6"/>
              <w:bottom w:val="single" w:sz="4" w:space="0" w:color="C9D6E6"/>
              <w:right w:val="single" w:sz="4" w:space="0" w:color="C9D6E6"/>
            </w:tcBorders>
            <w:shd w:fill="F7F9FC" w:val="clear"/>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 8 Abs. 2: lesender Zugriff für externe Anwendungen</w:t>
            </w:r>
          </w:p>
        </w:tc>
        <w:tc>
          <w:tcPr>
            <w:tcW w:w="5746" w:type="dxa"/>
            <w:tcBorders>
              <w:top w:val="single" w:sz="4" w:space="0" w:color="C9D6E6"/>
              <w:left w:val="single" w:sz="4" w:space="0" w:color="C9D6E6"/>
              <w:bottom w:val="single" w:sz="4" w:space="0" w:color="C9D6E6"/>
              <w:right w:val="single" w:sz="4" w:space="0" w:color="C9D6E6"/>
            </w:tcBorders>
            <w:shd w:fill="F7F9FC" w:val="clear"/>
          </w:tcPr>
          <w:p>
            <w:pPr>
              <w:pStyle w:val="Normal"/>
              <w:spacing w:lineRule="auto" w:line="252" w:before="0" w:after="0"/>
              <w:rPr/>
            </w:pPr>
            <w:r>
              <w:rPr>
                <w:rFonts w:eastAsia="Bahnschrift" w:cs="Bahnschrift"/>
                <w:b w:val="false"/>
                <w:bCs w:val="false"/>
                <w:color w:val="1E1D2D"/>
                <w:sz w:val="17"/>
                <w:szCs w:val="17"/>
              </w:rPr>
              <w:t>über eine eigene Berechtigungsstufe (</w:t>
            </w:r>
            <w:r>
              <w:rPr>
                <w:rFonts w:eastAsia="Consolas" w:cs="Consolas" w:ascii="Consolas" w:hAnsi="Consolas"/>
                <w:b w:val="false"/>
                <w:bCs w:val="false"/>
                <w:color w:val="1E1D2D"/>
                <w:sz w:val="15"/>
                <w:szCs w:val="15"/>
              </w:rPr>
              <w:t>integrationMcp: view</w:t>
            </w:r>
            <w:r>
              <w:rPr>
                <w:rFonts w:eastAsia="Bahnschrift" w:cs="Bahnschrift"/>
                <w:b w:val="false"/>
                <w:bCs w:val="false"/>
                <w:color w:val="1E1D2D"/>
                <w:sz w:val="17"/>
                <w:szCs w:val="17"/>
              </w:rPr>
              <w:t xml:space="preserve">) einstellbar, die unabhängig von den sonstigen Rechten wirkt; in neu angelegten Mandanten haben PMO und Team </w:t>
            </w:r>
            <w:r>
              <w:rPr>
                <w:rFonts w:eastAsia="Consolas" w:cs="Consolas" w:ascii="Consolas" w:hAnsi="Consolas"/>
                <w:b w:val="false"/>
                <w:bCs w:val="false"/>
                <w:color w:val="1E1D2D"/>
                <w:sz w:val="15"/>
                <w:szCs w:val="15"/>
              </w:rPr>
              <w:t>view</w:t>
            </w:r>
            <w:r>
              <w:rPr>
                <w:rFonts w:eastAsia="Bahnschrift" w:cs="Bahnschrift"/>
                <w:b w:val="false"/>
                <w:bCs w:val="false"/>
                <w:color w:val="1E1D2D"/>
                <w:sz w:val="17"/>
                <w:szCs w:val="17"/>
              </w:rPr>
              <w:t xml:space="preserve">, Admin </w:t>
            </w:r>
            <w:r>
              <w:rPr>
                <w:rFonts w:eastAsia="Consolas" w:cs="Consolas" w:ascii="Consolas" w:hAnsi="Consolas"/>
                <w:b w:val="false"/>
                <w:bCs w:val="false"/>
                <w:color w:val="1E1D2D"/>
                <w:sz w:val="15"/>
                <w:szCs w:val="15"/>
              </w:rPr>
              <w:t>edit</w:t>
            </w:r>
            <w:r>
              <w:rPr>
                <w:rFonts w:eastAsia="Bahnschrift" w:cs="Bahnschrift"/>
                <w:b w:val="false"/>
                <w:bCs w:val="false"/>
                <w:color w:val="1E1D2D"/>
                <w:sz w:val="17"/>
                <w:szCs w:val="17"/>
              </w:rPr>
              <w:t xml:space="preserve">; in früher angelegten Mandanten haben alle mitgelieferten Rollen </w:t>
            </w:r>
            <w:r>
              <w:rPr>
                <w:rFonts w:eastAsia="Consolas" w:cs="Consolas" w:ascii="Consolas" w:hAnsi="Consolas"/>
                <w:b w:val="false"/>
                <w:bCs w:val="false"/>
                <w:color w:val="1E1D2D"/>
                <w:sz w:val="15"/>
                <w:szCs w:val="15"/>
              </w:rPr>
              <w:t>edit</w:t>
            </w:r>
            <w:r>
              <w:rPr>
                <w:rFonts w:eastAsia="Bahnschrift" w:cs="Bahnschrift"/>
                <w:b w:val="false"/>
                <w:bCs w:val="false"/>
                <w:color w:val="1E1D2D"/>
                <w:sz w:val="17"/>
                <w:szCs w:val="17"/>
              </w:rPr>
              <w:t xml:space="preserve">, dort ist die Stufe aktiv auf </w:t>
            </w:r>
            <w:r>
              <w:rPr>
                <w:rFonts w:eastAsia="Consolas" w:cs="Consolas" w:ascii="Consolas" w:hAnsi="Consolas"/>
                <w:b w:val="false"/>
                <w:bCs w:val="false"/>
                <w:color w:val="1E1D2D"/>
                <w:sz w:val="15"/>
                <w:szCs w:val="15"/>
              </w:rPr>
              <w:t>view</w:t>
            </w:r>
            <w:r>
              <w:rPr>
                <w:rFonts w:eastAsia="Bahnschrift" w:cs="Bahnschrift"/>
                <w:b w:val="false"/>
                <w:bCs w:val="false"/>
                <w:color w:val="1E1D2D"/>
                <w:sz w:val="17"/>
                <w:szCs w:val="17"/>
              </w:rPr>
              <w:t xml:space="preserve"> zu setzen (Referenzdokumentation 9.6)</w:t>
            </w:r>
          </w:p>
        </w:tc>
      </w:tr>
      <w:tr>
        <w:trPr>
          <w:cantSplit w:val="true"/>
        </w:trPr>
        <w:tc>
          <w:tcPr>
            <w:tcW w:w="3324"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 9 Abs. 1: kein Zugriff auf Gesprächsverläufe in der Anwendung</w:t>
            </w:r>
          </w:p>
        </w:tc>
        <w:tc>
          <w:tcPr>
            <w:tcW w:w="5746"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Verläufe sind in der Anwendung ausschließlich ihrem Ersteller zugänglich, auch Administratoren haben dort keinen Zugriff; die Datenbank trennt nach Mandant (Referenzdokumentation 3.1). Administratoren können die Verläufe einer Person nur als Ganzes löschen, nicht lesen; angezeigt wird nur die Anzahl</w:t>
            </w:r>
          </w:p>
        </w:tc>
      </w:tr>
      <w:tr>
        <w:trPr>
          <w:cantSplit w:val="true"/>
        </w:trPr>
        <w:tc>
          <w:tcPr>
            <w:tcW w:w="3324" w:type="dxa"/>
            <w:tcBorders>
              <w:top w:val="single" w:sz="4" w:space="0" w:color="C9D6E6"/>
              <w:left w:val="single" w:sz="4" w:space="0" w:color="C9D6E6"/>
              <w:bottom w:val="single" w:sz="4" w:space="0" w:color="C9D6E6"/>
              <w:right w:val="single" w:sz="4" w:space="0" w:color="C9D6E6"/>
            </w:tcBorders>
            <w:shd w:fill="F7F9FC" w:val="clear"/>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 11 Abs. 2: Löschung der Verbrauchsaufzeichnungen</w:t>
            </w:r>
          </w:p>
        </w:tc>
        <w:tc>
          <w:tcPr>
            <w:tcW w:w="5746" w:type="dxa"/>
            <w:tcBorders>
              <w:top w:val="single" w:sz="4" w:space="0" w:color="C9D6E6"/>
              <w:left w:val="single" w:sz="4" w:space="0" w:color="C9D6E6"/>
              <w:bottom w:val="single" w:sz="4" w:space="0" w:color="C9D6E6"/>
              <w:right w:val="single" w:sz="4" w:space="0" w:color="C9D6E6"/>
            </w:tcBorders>
            <w:shd w:fill="F7F9FC" w:val="clear"/>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die Frist wird in der KI-Konfiguration unter „Verbrauchsdaten löschen nach (Monaten)“ eingetragen; ältere Aufzeichnungen werden täglich gelöscht, der laufende Monat bleibt für die Budgetprüfung erhalten (Referenzdokumentation 5.8)</w:t>
            </w:r>
          </w:p>
        </w:tc>
      </w:tr>
      <w:tr>
        <w:trPr>
          <w:cantSplit w:val="true"/>
        </w:trPr>
        <w:tc>
          <w:tcPr>
            <w:tcW w:w="3324"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 11 Abs. 4: Löschung beim Ausscheiden</w:t>
            </w:r>
          </w:p>
        </w:tc>
        <w:tc>
          <w:tcPr>
            <w:tcW w:w="5746"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Beim Deaktivieren eines Kontos bietet der Dialog an, die Gesprächsverläufe der Person mitzulöschen (ab Werk nicht angehakt); außerdem können Administratoren sie jederzeit in der Benutzerverwaltung löschen, ohne sie zu lesen. Der Vorgang steht mit der Anzahl im Änderungsprotokoll</w:t>
            </w:r>
          </w:p>
        </w:tc>
      </w:tr>
      <w:tr>
        <w:trPr>
          <w:cantSplit w:val="true"/>
        </w:trPr>
        <w:tc>
          <w:tcPr>
            <w:tcW w:w="3324" w:type="dxa"/>
            <w:tcBorders>
              <w:top w:val="single" w:sz="4" w:space="0" w:color="C9D6E6"/>
              <w:left w:val="single" w:sz="4" w:space="0" w:color="C9D6E6"/>
              <w:bottom w:val="single" w:sz="4" w:space="0" w:color="C9D6E6"/>
              <w:right w:val="single" w:sz="4" w:space="0" w:color="C9D6E6"/>
            </w:tcBorders>
            <w:shd w:fill="F7F9FC" w:val="clear"/>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 10 Abs. 1 Nr. 2: Verbrauch ohne Inhalte</w:t>
            </w:r>
          </w:p>
        </w:tc>
        <w:tc>
          <w:tcPr>
            <w:tcW w:w="5746" w:type="dxa"/>
            <w:tcBorders>
              <w:top w:val="single" w:sz="4" w:space="0" w:color="C9D6E6"/>
              <w:left w:val="single" w:sz="4" w:space="0" w:color="C9D6E6"/>
              <w:bottom w:val="single" w:sz="4" w:space="0" w:color="C9D6E6"/>
              <w:right w:val="single" w:sz="4" w:space="0" w:color="C9D6E6"/>
            </w:tcBorders>
            <w:shd w:fill="F7F9FC" w:val="clear"/>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erfasst werden je Vorgang (im Chat je Zug, sonst je Aufruf) Person, Gesprächsverlauf (falls vorhanden), Modell und Anzahl der Token, keine Inhalte von Eingaben oder Antworten</w:t>
            </w:r>
          </w:p>
        </w:tc>
      </w:tr>
      <w:tr>
        <w:trPr>
          <w:cantSplit w:val="true"/>
        </w:trPr>
        <w:tc>
          <w:tcPr>
            <w:tcW w:w="3324"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 15 Abs. 2: Unterlagen zu jeder Programmfassung</w:t>
            </w:r>
          </w:p>
        </w:tc>
        <w:tc>
          <w:tcPr>
            <w:tcW w:w="5746"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Werkzeugverzeichnis und Wortlaut der Anweisungen werden je Fassung erzeugt und liegen der Compliance-Dokumentation bei</w:t>
            </w:r>
          </w:p>
        </w:tc>
      </w:tr>
    </w:tbl>
    <w:p>
      <w:pPr>
        <w:pStyle w:val="Normal"/>
        <w:spacing w:lineRule="auto" w:line="120" w:before="0" w:after="140"/>
        <w:rPr/>
      </w:pPr>
      <w:r>
        <w:rPr/>
      </w:r>
    </w:p>
    <w:p>
      <w:pPr>
        <w:pStyle w:val="Heading3"/>
        <w:keepNext w:val="true"/>
        <w:rPr>
          <w:rFonts w:ascii="Bahnschrift" w:hAnsi="Bahnschrift" w:eastAsia="Bahnschrift" w:cs="Bahnschrift"/>
          <w:b/>
          <w:bCs/>
          <w:color w:val="1E1D2D"/>
          <w:sz w:val="23"/>
          <w:szCs w:val="23"/>
        </w:rPr>
      </w:pPr>
      <w:bookmarkStart w:id="33" w:name="h180"/>
      <w:r>
        <w:rPr>
          <w:rFonts w:eastAsia="Bahnschrift" w:cs="Bahnschrift" w:ascii="Bahnschrift" w:hAnsi="Bahnschrift"/>
          <w:b/>
          <w:bCs/>
          <w:color w:val="1E1D2D"/>
          <w:sz w:val="23"/>
          <w:szCs w:val="23"/>
        </w:rPr>
        <w:t>Was organisatorisch geleistet werden muss</w:t>
      </w:r>
      <w:bookmarkEnd w:id="33"/>
    </w:p>
    <w:tbl>
      <w:tblPr>
        <w:tblW w:w="9070" w:type="dxa"/>
        <w:jc w:val="left"/>
        <w:tblInd w:w="0" w:type="dxa"/>
        <w:tblLayout w:type="fixed"/>
        <w:tblCellMar>
          <w:top w:w="60" w:type="dxa"/>
          <w:left w:w="90" w:type="dxa"/>
          <w:bottom w:w="60" w:type="dxa"/>
          <w:right w:w="90" w:type="dxa"/>
        </w:tblCellMar>
      </w:tblPr>
      <w:tblGrid>
        <w:gridCol w:w="2832"/>
        <w:gridCol w:w="6238"/>
      </w:tblGrid>
      <w:tr>
        <w:trPr>
          <w:tblHeader w:val="true"/>
          <w:cantSplit w:val="true"/>
        </w:trPr>
        <w:tc>
          <w:tcPr>
            <w:tcW w:w="2832" w:type="dxa"/>
            <w:tcBorders>
              <w:top w:val="single" w:sz="4" w:space="0" w:color="C9D6E6"/>
              <w:left w:val="single" w:sz="4" w:space="0" w:color="C9D6E6"/>
              <w:bottom w:val="single" w:sz="4" w:space="0" w:color="C9D6E6"/>
              <w:right w:val="single" w:sz="4" w:space="0" w:color="C9D6E6"/>
            </w:tcBorders>
            <w:shd w:fill="BACFE6" w:val="clear"/>
          </w:tcPr>
          <w:p>
            <w:pPr>
              <w:pStyle w:val="Normal"/>
              <w:spacing w:lineRule="auto" w:line="252" w:before="0" w:after="0"/>
              <w:rPr>
                <w:rFonts w:ascii="Bahnschrift" w:hAnsi="Bahnschrift" w:eastAsia="Bahnschrift" w:cs="Bahnschrift"/>
                <w:b/>
                <w:bCs/>
                <w:color w:val="1E1D2D"/>
                <w:sz w:val="17"/>
                <w:szCs w:val="17"/>
              </w:rPr>
            </w:pPr>
            <w:r>
              <w:rPr>
                <w:rFonts w:eastAsia="Bahnschrift" w:cs="Bahnschrift"/>
                <w:b/>
                <w:bCs/>
                <w:color w:val="1E1D2D"/>
                <w:sz w:val="17"/>
                <w:szCs w:val="17"/>
              </w:rPr>
              <w:t>Regelung</w:t>
            </w:r>
          </w:p>
        </w:tc>
        <w:tc>
          <w:tcPr>
            <w:tcW w:w="6238" w:type="dxa"/>
            <w:tcBorders>
              <w:top w:val="single" w:sz="4" w:space="0" w:color="C9D6E6"/>
              <w:left w:val="single" w:sz="4" w:space="0" w:color="C9D6E6"/>
              <w:bottom w:val="single" w:sz="4" w:space="0" w:color="C9D6E6"/>
              <w:right w:val="single" w:sz="4" w:space="0" w:color="C9D6E6"/>
            </w:tcBorders>
            <w:shd w:fill="BACFE6" w:val="clear"/>
          </w:tcPr>
          <w:p>
            <w:pPr>
              <w:pStyle w:val="Normal"/>
              <w:spacing w:lineRule="auto" w:line="252" w:before="0" w:after="0"/>
              <w:rPr>
                <w:rFonts w:ascii="Bahnschrift" w:hAnsi="Bahnschrift" w:eastAsia="Bahnschrift" w:cs="Bahnschrift"/>
                <w:b/>
                <w:bCs/>
                <w:color w:val="1E1D2D"/>
                <w:sz w:val="17"/>
                <w:szCs w:val="17"/>
              </w:rPr>
            </w:pPr>
            <w:r>
              <w:rPr>
                <w:rFonts w:eastAsia="Bahnschrift" w:cs="Bahnschrift"/>
                <w:b/>
                <w:bCs/>
                <w:color w:val="1E1D2D"/>
                <w:sz w:val="17"/>
                <w:szCs w:val="17"/>
              </w:rPr>
              <w:t>Warum</w:t>
            </w:r>
          </w:p>
        </w:tc>
      </w:tr>
      <w:tr>
        <w:trPr>
          <w:cantSplit w:val="true"/>
        </w:trPr>
        <w:tc>
          <w:tcPr>
            <w:tcW w:w="2832"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 11 Abs. 1: Löschung der Gesprächsverläufe</w:t>
            </w:r>
          </w:p>
        </w:tc>
        <w:tc>
          <w:tcPr>
            <w:tcW w:w="6238"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Gelöscht werden Verläufe durch die Person selbst, durch die Administration als Ganzes je Person oder mit dem Löschen ihres Nutzerkontos; Administratoren haben keinen Lesezugriff auf Verläufe (Referenzdokumentation 5.8). Eine automatische Löschfrist sieht die Software derzeit nicht vor. Ohne organisatorische Regelung bleiben Verläufe unbegrenzt bestehen.</w:t>
            </w:r>
          </w:p>
        </w:tc>
      </w:tr>
      <w:tr>
        <w:trPr>
          <w:cantSplit w:val="true"/>
        </w:trPr>
        <w:tc>
          <w:tcPr>
            <w:tcW w:w="2832" w:type="dxa"/>
            <w:tcBorders>
              <w:top w:val="single" w:sz="4" w:space="0" w:color="C9D6E6"/>
              <w:left w:val="single" w:sz="4" w:space="0" w:color="C9D6E6"/>
              <w:bottom w:val="single" w:sz="4" w:space="0" w:color="C9D6E6"/>
              <w:right w:val="single" w:sz="4" w:space="0" w:color="C9D6E6"/>
            </w:tcBorders>
            <w:shd w:fill="F7F9FC" w:val="clear"/>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 12 Abs. 1: Positivliste der Anwendungen</w:t>
            </w:r>
          </w:p>
        </w:tc>
        <w:tc>
          <w:tcPr>
            <w:tcW w:w="6238" w:type="dxa"/>
            <w:tcBorders>
              <w:top w:val="single" w:sz="4" w:space="0" w:color="C9D6E6"/>
              <w:left w:val="single" w:sz="4" w:space="0" w:color="C9D6E6"/>
              <w:bottom w:val="single" w:sz="4" w:space="0" w:color="C9D6E6"/>
              <w:right w:val="single" w:sz="4" w:space="0" w:color="C9D6E6"/>
            </w:tcBorders>
            <w:shd w:fill="F7F9FC" w:val="clear"/>
          </w:tcPr>
          <w:p>
            <w:pPr>
              <w:pStyle w:val="Normal"/>
              <w:spacing w:lineRule="auto" w:line="252" w:before="0" w:after="0"/>
              <w:rPr/>
            </w:pPr>
            <w:r>
              <w:rPr>
                <w:rFonts w:eastAsia="Bahnschrift" w:cs="Bahnschrift"/>
                <w:b w:val="false"/>
                <w:bCs w:val="false"/>
                <w:color w:val="1E1D2D"/>
                <w:sz w:val="17"/>
                <w:szCs w:val="17"/>
              </w:rPr>
              <w:t xml:space="preserve">Die Steuerung erfolgt über die Berechtigungsstufe </w:t>
            </w:r>
            <w:r>
              <w:rPr>
                <w:rFonts w:eastAsia="Consolas" w:cs="Consolas" w:ascii="Consolas" w:hAnsi="Consolas"/>
                <w:b w:val="false"/>
                <w:bCs w:val="false"/>
                <w:color w:val="1E1D2D"/>
                <w:sz w:val="15"/>
                <w:szCs w:val="15"/>
              </w:rPr>
              <w:t>integrationMcp</w:t>
            </w:r>
            <w:r>
              <w:rPr>
                <w:rFonts w:eastAsia="Bahnschrift" w:cs="Bahnschrift"/>
                <w:b w:val="false"/>
                <w:bCs w:val="false"/>
                <w:color w:val="1E1D2D"/>
                <w:sz w:val="17"/>
                <w:szCs w:val="17"/>
              </w:rPr>
              <w:t xml:space="preserve"> und diese Regelung; eine technische Positivliste für externe Anwendungen gibt es derzeit nicht. Die Berechtigungsstufe gilt je Rolle, nicht je Anwendung; die Zugriffsstufe je Anwendung in Anlage 2.2 ist daher eine organisatorische Festlegung.</w:t>
            </w:r>
          </w:p>
        </w:tc>
      </w:tr>
      <w:tr>
        <w:trPr>
          <w:cantSplit w:val="true"/>
        </w:trPr>
        <w:tc>
          <w:tcPr>
            <w:tcW w:w="2832"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 5 Abs. 4: enger Rechteschnitt</w:t>
            </w:r>
          </w:p>
        </w:tc>
        <w:tc>
          <w:tcPr>
            <w:tcW w:w="6238"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pPr>
            <w:r>
              <w:rPr>
                <w:rFonts w:eastAsia="Bahnschrift" w:cs="Bahnschrift"/>
                <w:b w:val="false"/>
                <w:bCs w:val="false"/>
                <w:color w:val="1E1D2D"/>
                <w:sz w:val="17"/>
                <w:szCs w:val="17"/>
              </w:rPr>
              <w:t xml:space="preserve">Werkzeuge, die beschäftigtenbezogene Daten liefern (etwa Zeiterfassung und nutzerbezogene Listen), lassen sich nicht einzeln sperren; die Begrenzung erfolgt über die Fachberechtigungen. Die KI kann außerdem Zeiteinträge anlegen: für die eigene Person, mit dem Recht </w:t>
            </w:r>
            <w:r>
              <w:rPr>
                <w:rFonts w:eastAsia="Consolas" w:cs="Consolas" w:ascii="Consolas" w:hAnsi="Consolas"/>
                <w:b w:val="false"/>
                <w:bCs w:val="false"/>
                <w:color w:val="1E1D2D"/>
                <w:sz w:val="15"/>
                <w:szCs w:val="15"/>
              </w:rPr>
              <w:t>timeTracking: admin</w:t>
            </w:r>
            <w:r>
              <w:rPr>
                <w:rFonts w:eastAsia="Bahnschrift" w:cs="Bahnschrift"/>
                <w:b w:val="false"/>
                <w:bCs w:val="false"/>
                <w:color w:val="1E1D2D"/>
                <w:sz w:val="17"/>
                <w:szCs w:val="17"/>
              </w:rPr>
              <w:t xml:space="preserve"> auch für andere. Der Eintrag selbst zeigt nicht, dass er von der KI stammt; das steht nur im Prüfprotokoll. Wer das ausschließen will, regelt es organisatorisch oder schaltet schreibende Aktionen ab (Referenzdokumentation 3.13).</w:t>
            </w:r>
          </w:p>
        </w:tc>
      </w:tr>
      <w:tr>
        <w:trPr>
          <w:cantSplit w:val="true"/>
        </w:trPr>
        <w:tc>
          <w:tcPr>
            <w:tcW w:w="2832" w:type="dxa"/>
            <w:tcBorders>
              <w:top w:val="single" w:sz="4" w:space="0" w:color="C9D6E6"/>
              <w:left w:val="single" w:sz="4" w:space="0" w:color="C9D6E6"/>
              <w:bottom w:val="single" w:sz="4" w:space="0" w:color="C9D6E6"/>
              <w:right w:val="single" w:sz="4" w:space="0" w:color="C9D6E6"/>
            </w:tcBorders>
            <w:shd w:fill="F7F9FC" w:val="clear"/>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 9 Abs. 2: Datenbank und Sicherungen</w:t>
            </w:r>
          </w:p>
        </w:tc>
        <w:tc>
          <w:tcPr>
            <w:tcW w:w="6238" w:type="dxa"/>
            <w:tcBorders>
              <w:top w:val="single" w:sz="4" w:space="0" w:color="C9D6E6"/>
              <w:left w:val="single" w:sz="4" w:space="0" w:color="C9D6E6"/>
              <w:bottom w:val="single" w:sz="4" w:space="0" w:color="C9D6E6"/>
              <w:right w:val="single" w:sz="4" w:space="0" w:color="C9D6E6"/>
            </w:tcBorders>
            <w:shd w:fill="F7F9FC" w:val="clear"/>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Die Gesprächsverläufe liegen in der Datenbank nicht gesondert verschlüsselt. Wer Zugriff auf Datenbank oder Sicherungen hat (bei der selbst betriebenen Edition die eigene IT, in der SaaS-Edition der Hersteller als Auftragsverarbeiter), könnte sie technisch lesen. Das Produkt verhindert das nicht; es ist organisatorisch und vertraglich zu regeln.</w:t>
            </w:r>
          </w:p>
        </w:tc>
      </w:tr>
      <w:tr>
        <w:trPr>
          <w:cantSplit w:val="true"/>
        </w:trPr>
        <w:tc>
          <w:tcPr>
            <w:tcW w:w="2832"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 10 Abs. 3: Auswertungen ohne Personenbezug</w:t>
            </w:r>
          </w:p>
        </w:tc>
        <w:tc>
          <w:tcPr>
            <w:tcW w:w="6238"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Dass regelmäßige Auswertungen ohne Personenbezug bleiben, ist organisatorisch sicherzustellen, etwa indem nur Summenwerte verwendet werden. Die Verbrauchsübersicht in der Administration zeigt den Verbrauch stets je Person mit Namen; eine Auswertung ohne Personenbezug bietet die Software nicht an.</w:t>
            </w:r>
          </w:p>
        </w:tc>
      </w:tr>
      <w:tr>
        <w:trPr>
          <w:cantSplit w:val="true"/>
        </w:trPr>
        <w:tc>
          <w:tcPr>
            <w:tcW w:w="2832" w:type="dxa"/>
            <w:tcBorders>
              <w:top w:val="single" w:sz="4" w:space="0" w:color="C9D6E6"/>
              <w:left w:val="single" w:sz="4" w:space="0" w:color="C9D6E6"/>
              <w:bottom w:val="single" w:sz="4" w:space="0" w:color="C9D6E6"/>
              <w:right w:val="single" w:sz="4" w:space="0" w:color="C9D6E6"/>
            </w:tcBorders>
            <w:shd w:fill="F7F9FC" w:val="clear"/>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 15 Abs. 3: Zustimmung vor neuen KI-Funktionen</w:t>
            </w:r>
          </w:p>
        </w:tc>
        <w:tc>
          <w:tcPr>
            <w:tcW w:w="6238" w:type="dxa"/>
            <w:tcBorders>
              <w:top w:val="single" w:sz="4" w:space="0" w:color="C9D6E6"/>
              <w:left w:val="single" w:sz="4" w:space="0" w:color="C9D6E6"/>
              <w:bottom w:val="single" w:sz="4" w:space="0" w:color="C9D6E6"/>
              <w:right w:val="single" w:sz="4" w:space="0" w:color="C9D6E6"/>
            </w:tcBorders>
            <w:shd w:fill="F7F9FC" w:val="clear"/>
          </w:tcPr>
          <w:p>
            <w:pPr>
              <w:pStyle w:val="Normal"/>
              <w:spacing w:lineRule="auto" w:line="252" w:before="0" w:after="0"/>
              <w:rPr/>
            </w:pPr>
            <w:r>
              <w:rPr>
                <w:rFonts w:eastAsia="Bahnschrift" w:cs="Bahnschrift"/>
                <w:b w:val="false"/>
                <w:bCs w:val="false"/>
                <w:color w:val="1E1D2D"/>
                <w:sz w:val="17"/>
                <w:szCs w:val="17"/>
              </w:rPr>
              <w:t xml:space="preserve">In der SaaS-Edition kommen neue KI-Funktionen mit der Programmaktualisierung und sind für alle mit der Berechtigung </w:t>
            </w:r>
            <w:r>
              <w:rPr>
                <w:rFonts w:eastAsia="Consolas" w:cs="Consolas" w:ascii="Consolas" w:hAnsi="Consolas"/>
                <w:b w:val="false"/>
                <w:bCs w:val="false"/>
                <w:color w:val="1E1D2D"/>
                <w:sz w:val="15"/>
                <w:szCs w:val="15"/>
              </w:rPr>
              <w:t>generativeAi</w:t>
            </w:r>
            <w:r>
              <w:rPr>
                <w:rFonts w:eastAsia="Bahnschrift" w:cs="Bahnschrift"/>
                <w:b w:val="false"/>
                <w:bCs w:val="false"/>
                <w:color w:val="1E1D2D"/>
                <w:sz w:val="17"/>
                <w:szCs w:val="17"/>
              </w:rPr>
              <w:t xml:space="preserve"> sofort nutzbar; einen Schalter je Funktion gibt es nicht (ausgenommen die Teams-Funktionen, die ab Werk aus sind). Bis zur Zustimmung lässt sich eine neue Funktion nur zurückhalten, indem </w:t>
            </w:r>
            <w:r>
              <w:rPr>
                <w:rFonts w:eastAsia="Consolas" w:cs="Consolas" w:ascii="Consolas" w:hAnsi="Consolas"/>
                <w:b w:val="false"/>
                <w:bCs w:val="false"/>
                <w:color w:val="1E1D2D"/>
                <w:sz w:val="15"/>
                <w:szCs w:val="15"/>
              </w:rPr>
              <w:t>generativeAi</w:t>
            </w:r>
            <w:r>
              <w:rPr>
                <w:rFonts w:eastAsia="Bahnschrift" w:cs="Bahnschrift"/>
                <w:b w:val="false"/>
                <w:bCs w:val="false"/>
                <w:color w:val="1E1D2D"/>
                <w:sz w:val="17"/>
                <w:szCs w:val="17"/>
              </w:rPr>
              <w:t xml:space="preserve"> entzogen wird. Der Arbeitgeber muss deshalb die Versionshinweise verfolgen. In der selbst betriebenen Edition bestimmt der Kunde den Zeitpunkt der Aktualisierung. Neue Werkzeuge für externe Anwendungen fallen unter § 15 Abs. 1 Nr. 4 und damit nicht unter den Zustimmungsvorbehalt.</w:t>
            </w:r>
          </w:p>
        </w:tc>
      </w:tr>
    </w:tbl>
    <w:p>
      <w:pPr>
        <w:pStyle w:val="Normal"/>
        <w:spacing w:lineRule="auto" w:line="120" w:before="0" w:after="140"/>
        <w:rPr/>
      </w:pPr>
      <w:r>
        <w:rPr/>
      </w:r>
    </w:p>
    <w:p>
      <w:pPr>
        <w:pStyle w:val="Heading3"/>
        <w:keepNext w:val="true"/>
        <w:rPr>
          <w:rFonts w:ascii="Bahnschrift" w:hAnsi="Bahnschrift" w:eastAsia="Bahnschrift" w:cs="Bahnschrift"/>
          <w:b/>
          <w:bCs/>
          <w:color w:val="1E1D2D"/>
          <w:sz w:val="23"/>
          <w:szCs w:val="23"/>
        </w:rPr>
      </w:pPr>
      <w:bookmarkStart w:id="34" w:name="h181"/>
      <w:r>
        <w:rPr>
          <w:rFonts w:eastAsia="Bahnschrift" w:cs="Bahnschrift" w:ascii="Bahnschrift" w:hAnsi="Bahnschrift"/>
          <w:b/>
          <w:bCs/>
          <w:color w:val="1E1D2D"/>
          <w:sz w:val="23"/>
          <w:szCs w:val="23"/>
        </w:rPr>
        <w:t>Was frei verhandelbar ist</w:t>
      </w:r>
      <w:bookmarkEnd w:id="34"/>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Frei verhandelbar sind Fristen und Zeiträume (§ 11, § 15 Abs. 3, § 19), der Umfang der freigegebenen Funktionen (Anlage 1.2), der Kreis der Berechtigten (Anlage 1.4), die Häufigkeit der Unterrichtung (§ 8 Abs. 4, § 12 Abs. 4) sowie die Ausgestaltung des Auswertungsverfahrens (Anlage 3).</w:t>
      </w:r>
    </w:p>
    <w:p>
      <w:pPr>
        <w:pStyle w:val="Normal"/>
        <w:spacing w:lineRule="auto" w:line="264" w:before="0" w:after="110"/>
        <w:rPr/>
      </w:pPr>
      <w:r>
        <w:rPr>
          <w:rFonts w:eastAsia="Bahnschrift" w:cs="Bahnschrift"/>
          <w:b/>
          <w:bCs/>
          <w:sz w:val="19"/>
          <w:szCs w:val="19"/>
        </w:rPr>
        <w:t>Hinweis zu Anlage 1.2:</w:t>
      </w:r>
      <w:r>
        <w:rPr>
          <w:rFonts w:eastAsia="Bahnschrift" w:cs="Bahnschrift"/>
          <w:sz w:val="19"/>
          <w:szCs w:val="19"/>
        </w:rPr>
        <w:t xml:space="preserve"> Die Berechtigung </w:t>
      </w:r>
      <w:r>
        <w:rPr>
          <w:rFonts w:eastAsia="Consolas" w:cs="Consolas" w:ascii="Consolas" w:hAnsi="Consolas"/>
          <w:color w:val="1E1D2D"/>
          <w:sz w:val="17"/>
          <w:szCs w:val="17"/>
        </w:rPr>
        <w:t>generativeAi</w:t>
      </w:r>
      <w:r>
        <w:rPr>
          <w:rFonts w:eastAsia="Bahnschrift" w:cs="Bahnschrift"/>
          <w:sz w:val="19"/>
          <w:szCs w:val="19"/>
        </w:rPr>
        <w:t xml:space="preserve"> gibt den Assistenten und die erzeugenden Funktionen gemeinsam frei. Technisch gesondert steuerbar sind die Schnittstelle (mandantenweit oder je Rolle über </w:t>
      </w:r>
      <w:r>
        <w:rPr>
          <w:rFonts w:eastAsia="Consolas" w:cs="Consolas" w:ascii="Consolas" w:hAnsi="Consolas"/>
          <w:color w:val="1E1D2D"/>
          <w:sz w:val="17"/>
          <w:szCs w:val="17"/>
        </w:rPr>
        <w:t>integrationMcp</w:t>
      </w:r>
      <w:r>
        <w:rPr>
          <w:rFonts w:eastAsia="Bahnschrift" w:cs="Bahnschrift"/>
          <w:sz w:val="19"/>
          <w:szCs w:val="19"/>
        </w:rPr>
        <w:t>) und die schreibenden Aktionen des Assistenten. Wird nur ein Teil der Funktionen freigegeben, ist die Beschränkung organisatorisch zu regeln.</w:t>
      </w:r>
    </w:p>
    <w:p>
      <w:pPr>
        <w:pStyle w:val="Heading3"/>
        <w:keepNext w:val="true"/>
        <w:rPr>
          <w:rFonts w:ascii="Bahnschrift" w:hAnsi="Bahnschrift" w:eastAsia="Bahnschrift" w:cs="Bahnschrift"/>
          <w:b/>
          <w:bCs/>
          <w:color w:val="1E1D2D"/>
          <w:sz w:val="23"/>
          <w:szCs w:val="23"/>
        </w:rPr>
      </w:pPr>
      <w:bookmarkStart w:id="35" w:name="h182"/>
      <w:r>
        <w:rPr>
          <w:rFonts w:eastAsia="Bahnschrift" w:cs="Bahnschrift" w:ascii="Bahnschrift" w:hAnsi="Bahnschrift"/>
          <w:b/>
          <w:bCs/>
          <w:color w:val="1E1D2D"/>
          <w:sz w:val="23"/>
          <w:szCs w:val="23"/>
        </w:rPr>
        <w:t>Erläuterungen zu zwei Regelungen</w:t>
      </w:r>
      <w:bookmarkEnd w:id="35"/>
    </w:p>
    <w:p>
      <w:pPr>
        <w:pStyle w:val="Normal"/>
        <w:spacing w:lineRule="auto" w:line="264" w:before="0" w:after="110"/>
        <w:rPr/>
      </w:pPr>
      <w:r>
        <w:rPr>
          <w:rFonts w:eastAsia="Bahnschrift" w:cs="Bahnschrift"/>
          <w:b/>
          <w:bCs/>
          <w:sz w:val="19"/>
          <w:szCs w:val="19"/>
        </w:rPr>
        <w:t>Warum ist der Ausschluss in § 5 so ausführlich?</w:t>
      </w:r>
      <w:r>
        <w:rPr>
          <w:rFonts w:eastAsia="Bahnschrift" w:cs="Bahnschrift"/>
          <w:sz w:val="19"/>
          <w:szCs w:val="19"/>
        </w:rPr>
        <w:t xml:space="preserve"> Eine allgemeine Formel wie „keine Leistungskontrolle“ erfasst den Sachverhalt nicht vollständig. WORKSPACE.PM hat keine Bewertungsfunktion. Eine Auswertung über Personen kann aber entstehen, wenn jemand ein Sprachmodell bittet, aus zulässig abgerufenen Daten eine Aussage über Personen abzuleiten (siehe Referenzdokumentation 3.13). § 5 setzt deshalb an der Fragestellung an, nicht an einer Funktion. Absatz 3 stellt klar, dass auch ein beiläufiges Nebenergebnis erfasst ist.</w:t>
      </w:r>
    </w:p>
    <w:p>
      <w:pPr>
        <w:pStyle w:val="Normal"/>
        <w:spacing w:lineRule="auto" w:line="264" w:before="0" w:after="110"/>
        <w:rPr/>
      </w:pPr>
      <w:r>
        <w:rPr>
          <w:rFonts w:eastAsia="Bahnschrift" w:cs="Bahnschrift"/>
          <w:b/>
          <w:bCs/>
          <w:sz w:val="19"/>
          <w:szCs w:val="19"/>
        </w:rPr>
        <w:t>Warum Unterlagen zu jeder Programmfassung (§ 15 Abs. 2)?</w:t>
      </w:r>
      <w:r>
        <w:rPr>
          <w:rFonts w:eastAsia="Bahnschrift" w:cs="Bahnschrift"/>
          <w:sz w:val="19"/>
          <w:szCs w:val="19"/>
        </w:rPr>
        <w:t xml:space="preserve"> Der Umfang der Funktionen, auf die die KI zugreifen kann, kann sich mit jeder Programmfassung ändern, in der Regel durch neue Funktionen. Ohne diese Regelung würde die Grundlage der Vereinbarung nach und nach veralten. Der Hersteller erzeugt das Verzeichnis je Fassung maschinell. Die Unterrichtung ist daher ohne nennenswerten Aufwand möglich, und der Betriebsrat kann zwei Fassungen unmittelbar vergleichen.</w:t>
      </w:r>
    </w:p>
    <w:sectPr>
      <w:headerReference w:type="default" r:id="rId2"/>
      <w:footerReference w:type="default" r:id="rId3"/>
      <w:type w:val="nextPage"/>
      <w:pgSz w:w="11906" w:h="16838"/>
      <w:pgMar w:left="1418" w:right="1418" w:gutter="0" w:header="650" w:top="1500" w:footer="600" w:bottom="1300"/>
      <w:pgNumType w:fmt="decimal"/>
      <w:formProt w:val="false"/>
      <w:textDirection w:val="lrTb"/>
      <w:docGrid w:type="default" w:linePitch="360" w:charSpace="10239"/>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Bahnschrift">
    <w:charset w:val="01"/>
    <w:family w:val="roman"/>
    <w:pitch w:val="variable"/>
  </w:font>
  <w:font w:name="Bahnschrift">
    <w:charset w:val="01"/>
    <w:family w:val="swiss"/>
    <w:pitch w:val="variable"/>
  </w:font>
  <w:font w:name="Liberation Sans">
    <w:altName w:val="Arial"/>
    <w:charset w:val="01"/>
    <w:family w:val="swiss"/>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right" w:pos="9070" w:leader="none"/>
      </w:tabs>
      <w:rPr/>
    </w:pPr>
    <w:r>
      <w:rPr>
        <w:rFonts w:eastAsia="Bahnschrift" w:cs="Bahnschrift"/>
        <w:color w:val="5B5C6B"/>
        <w:sz w:val="15"/>
        <w:szCs w:val="15"/>
      </w:rPr>
      <w:t>AI-Compliance-Dokumentation · Version 1.0 · Stand 2026-10-05</w:t>
      <w:tab/>
      <w:t xml:space="preserve">Seite </w:t>
    </w:r>
    <w:r>
      <w:rPr/>
      <w:fldChar w:fldCharType="begin"/>
    </w:r>
    <w:r>
      <w:rPr/>
      <w:instrText xml:space="preserve"> PAGE </w:instrText>
    </w:r>
    <w:r>
      <w:rPr/>
      <w:fldChar w:fldCharType="separate"/>
    </w:r>
    <w:r>
      <w:rPr/>
      <w:t>10</w:t>
    </w:r>
    <w:r>
      <w:rPr/>
      <w:fldChar w:fldCharType="end"/>
    </w:r>
    <w:r>
      <w:rPr>
        <w:rFonts w:eastAsia="Bahnschrift" w:cs="Bahnschrift"/>
        <w:color w:val="5B5C6B"/>
        <w:sz w:val="15"/>
        <w:szCs w:val="15"/>
      </w:rPr>
      <w:t xml:space="preserve"> von </w:t>
    </w:r>
    <w:r>
      <w:rPr/>
      <w:fldChar w:fldCharType="begin"/>
    </w:r>
    <w:r>
      <w:rPr/>
      <w:instrText xml:space="preserve"> NUMPAGES </w:instrText>
    </w:r>
    <w:r>
      <w:rPr/>
      <w:fldChar w:fldCharType="separate"/>
    </w:r>
    <w:r>
      <w:rPr/>
      <w:t>10</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bottom w:val="single" w:sz="4" w:space="6" w:color="C9D6E6"/>
      </w:pBdr>
      <w:tabs>
        <w:tab w:val="clear" w:pos="720"/>
        <w:tab w:val="right" w:pos="9070" w:leader="none"/>
      </w:tabs>
      <w:spacing w:before="0" w:after="0"/>
      <w:rPr/>
    </w:pPr>
    <w:r>
      <w:rPr/>
      <w:drawing>
        <wp:inline distT="0" distB="0" distL="0" distR="0">
          <wp:extent cx="876300" cy="200025"/>
          <wp:effectExtent l="0" t="0" r="0" b="0"/>
          <wp:docPr id="1" name="Bild6" descr="WORKSPACE.PM&#10;Wortmarke WORKSPACE.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6" descr="WORKSPACE.PM&#10;Wortmarke WORKSPACE.PM"/>
                  <pic:cNvPicPr>
                    <a:picLocks noChangeAspect="1" noChangeArrowheads="1"/>
                  </pic:cNvPicPr>
                </pic:nvPicPr>
                <pic:blipFill>
                  <a:blip r:embed="rId1"/>
                  <a:stretch>
                    <a:fillRect/>
                  </a:stretch>
                </pic:blipFill>
                <pic:spPr bwMode="auto">
                  <a:xfrm>
                    <a:off x="0" y="0"/>
                    <a:ext cx="876300" cy="200025"/>
                  </a:xfrm>
                  <a:prstGeom prst="rect">
                    <a:avLst/>
                  </a:prstGeom>
                </pic:spPr>
              </pic:pic>
            </a:graphicData>
          </a:graphic>
        </wp:inline>
      </w:drawing>
    </w:r>
    <w:r>
      <w:rPr>
        <w:rFonts w:eastAsia="Bahnschrift" w:cs="Bahnschrift"/>
        <w:color w:val="5B5C6B"/>
        <w:sz w:val="15"/>
        <w:szCs w:val="15"/>
      </w:rPr>
      <w:tab/>
      <w:t>Dokument 5 · Muster-Betriebsvereinbarung</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left"/>
      <w:pPr>
        <w:tabs>
          <w:tab w:val="num" w:pos="0"/>
        </w:tabs>
        <w:ind w:left="0" w:hanging="0"/>
      </w:pPr>
    </w:lvl>
    <w:lvl w:ilvl="1">
      <w:start w:val="1"/>
      <w:numFmt w:val="none"/>
      <w:suff w:val="nothing"/>
      <w:lvlText w:val="%2"/>
      <w:lvlJc w:val="left"/>
      <w:pPr>
        <w:tabs>
          <w:tab w:val="num" w:pos="0"/>
        </w:tabs>
        <w:ind w:left="0" w:hanging="0"/>
      </w:pPr>
    </w:lvl>
    <w:lvl w:ilvl="2">
      <w:start w:val="1"/>
      <w:numFmt w:val="none"/>
      <w:suff w:val="nothing"/>
      <w:lvlText w:val="%3"/>
      <w:lvlJc w:val="left"/>
      <w:pPr>
        <w:tabs>
          <w:tab w:val="num" w:pos="0"/>
        </w:tabs>
        <w:ind w:left="0" w:hanging="0"/>
      </w:pPr>
    </w:lvl>
    <w:lvl w:ilvl="3">
      <w:start w:val="1"/>
      <w:numFmt w:val="none"/>
      <w:suff w:val="nothing"/>
      <w:lvlText w:val="%4"/>
      <w:lvlJc w:val="left"/>
      <w:pPr>
        <w:tabs>
          <w:tab w:val="num" w:pos="0"/>
        </w:tabs>
        <w:ind w:left="0" w:hanging="0"/>
      </w:pPr>
    </w:lvl>
    <w:lvl w:ilvl="4">
      <w:start w:val="1"/>
      <w:numFmt w:val="none"/>
      <w:suff w:val="nothing"/>
      <w:lvlText w:val="%5"/>
      <w:lvlJc w:val="left"/>
      <w:pPr>
        <w:tabs>
          <w:tab w:val="num" w:pos="0"/>
        </w:tabs>
        <w:ind w:left="0" w:hanging="0"/>
      </w:pPr>
    </w:lvl>
    <w:lvl w:ilvl="5">
      <w:start w:val="1"/>
      <w:numFmt w:val="none"/>
      <w:suff w:val="nothing"/>
      <w:lvlText w:val="%6"/>
      <w:lvlJc w:val="left"/>
      <w:pPr>
        <w:tabs>
          <w:tab w:val="num" w:pos="0"/>
        </w:tabs>
        <w:ind w:left="0" w:hanging="0"/>
      </w:pPr>
    </w:lvl>
    <w:lvl w:ilvl="6">
      <w:start w:val="1"/>
      <w:numFmt w:val="none"/>
      <w:suff w:val="nothing"/>
      <w:lvlText w:val="%7"/>
      <w:lvlJc w:val="left"/>
      <w:pPr>
        <w:tabs>
          <w:tab w:val="num" w:pos="0"/>
        </w:tabs>
        <w:ind w:left="0" w:hanging="0"/>
      </w:pPr>
    </w:lvl>
    <w:lvl w:ilvl="7">
      <w:start w:val="1"/>
      <w:numFmt w:val="none"/>
      <w:suff w:val="nothing"/>
      <w:lvlText w:val="%8"/>
      <w:lvlJc w:val="left"/>
      <w:pPr>
        <w:tabs>
          <w:tab w:val="num" w:pos="0"/>
        </w:tabs>
        <w:ind w:left="0" w:hanging="0"/>
      </w:pPr>
    </w:lvl>
    <w:lvl w:ilvl="8">
      <w:start w:val="1"/>
      <w:numFmt w:val="none"/>
      <w:suff w:val="nothing"/>
      <w:lvlText w:val="%9"/>
      <w:lvlJc w:val="left"/>
      <w:pPr>
        <w:tabs>
          <w:tab w:val="num" w:pos="0"/>
        </w:tabs>
        <w:ind w:left="0" w:hanging="0"/>
      </w:pPr>
    </w:lvl>
  </w:abstractNum>
  <w:abstractNum w:abstractNumId="2">
    <w:lvl w:ilvl="0">
      <w:start w:val="1"/>
      <w:numFmt w:val="decimal"/>
      <w:lvlText w:val="%1."/>
      <w:lvlJc w:val="left"/>
      <w:pPr>
        <w:tabs>
          <w:tab w:val="num" w:pos="0"/>
        </w:tabs>
        <w:ind w:left="400" w:hanging="300"/>
      </w:pPr>
      <w:rPr>
        <w:b/>
        <w:bCs/>
        <w:color w:val="1E1D2D"/>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decimal"/>
      <w:lvlText w:val="%1."/>
      <w:lvlJc w:val="left"/>
      <w:pPr>
        <w:tabs>
          <w:tab w:val="num" w:pos="0"/>
        </w:tabs>
        <w:ind w:left="400" w:hanging="300"/>
      </w:pPr>
      <w:rPr>
        <w:b/>
        <w:bCs/>
        <w:color w:val="1E1D2D"/>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decimal"/>
      <w:lvlText w:val="%1."/>
      <w:lvlJc w:val="left"/>
      <w:pPr>
        <w:tabs>
          <w:tab w:val="num" w:pos="0"/>
        </w:tabs>
        <w:ind w:left="400" w:hanging="300"/>
      </w:pPr>
      <w:rPr>
        <w:b/>
        <w:bCs/>
        <w:color w:val="1E1D2D"/>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decimal"/>
      <w:lvlText w:val="%1."/>
      <w:lvlJc w:val="left"/>
      <w:pPr>
        <w:tabs>
          <w:tab w:val="num" w:pos="0"/>
        </w:tabs>
        <w:ind w:left="400" w:hanging="300"/>
      </w:pPr>
      <w:rPr>
        <w:b/>
        <w:bCs/>
        <w:color w:val="1E1D2D"/>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decimal"/>
      <w:lvlText w:val="%1."/>
      <w:lvlJc w:val="left"/>
      <w:pPr>
        <w:tabs>
          <w:tab w:val="num" w:pos="0"/>
        </w:tabs>
        <w:ind w:left="400" w:hanging="300"/>
      </w:pPr>
      <w:rPr>
        <w:b/>
        <w:bCs/>
        <w:color w:val="1E1D2D"/>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decimal"/>
      <w:lvlText w:val="%1."/>
      <w:lvlJc w:val="left"/>
      <w:pPr>
        <w:tabs>
          <w:tab w:val="num" w:pos="0"/>
        </w:tabs>
        <w:ind w:left="400" w:hanging="300"/>
      </w:pPr>
      <w:rPr>
        <w:b/>
        <w:bCs/>
        <w:color w:val="1E1D2D"/>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lvl w:ilvl="0">
      <w:start w:val="1"/>
      <w:numFmt w:val="decimal"/>
      <w:lvlText w:val="%1."/>
      <w:lvlJc w:val="left"/>
      <w:pPr>
        <w:tabs>
          <w:tab w:val="num" w:pos="0"/>
        </w:tabs>
        <w:ind w:left="400" w:hanging="300"/>
      </w:pPr>
      <w:rPr>
        <w:b/>
        <w:bCs/>
        <w:color w:val="1E1D2D"/>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lvl w:ilvl="0">
      <w:start w:val="1"/>
      <w:numFmt w:val="decimal"/>
      <w:lvlText w:val="%1."/>
      <w:lvlJc w:val="left"/>
      <w:pPr>
        <w:tabs>
          <w:tab w:val="num" w:pos="0"/>
        </w:tabs>
        <w:ind w:left="400" w:hanging="300"/>
      </w:pPr>
      <w:rPr>
        <w:b/>
        <w:bCs/>
        <w:color w:val="1E1D2D"/>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lvl w:ilvl="0">
      <w:start w:val="1"/>
      <w:numFmt w:val="decimal"/>
      <w:lvlText w:val="%1."/>
      <w:lvlJc w:val="left"/>
      <w:pPr>
        <w:tabs>
          <w:tab w:val="num" w:pos="0"/>
        </w:tabs>
        <w:ind w:left="400" w:hanging="300"/>
      </w:pPr>
      <w:rPr>
        <w:b/>
        <w:bCs/>
        <w:color w:val="1E1D2D"/>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lvl w:ilvl="0">
      <w:start w:val="1"/>
      <w:numFmt w:val="decimal"/>
      <w:lvlText w:val="%1."/>
      <w:lvlJc w:val="left"/>
      <w:pPr>
        <w:tabs>
          <w:tab w:val="num" w:pos="0"/>
        </w:tabs>
        <w:ind w:left="400" w:hanging="300"/>
      </w:pPr>
      <w:rPr>
        <w:b/>
        <w:bCs/>
        <w:color w:val="1E1D2D"/>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2"/>
    <w:lvlOverride w:ilvl="0">
      <w:startOverride w:val="1"/>
    </w:lvlOverride>
  </w:num>
  <w:num w:numId="13">
    <w:abstractNumId w:val="2"/>
    <w:lvlOverride w:ilvl="0">
      <w:startOverride w:val="1"/>
    </w:lvlOverride>
  </w:num>
  <w:num w:numId="14">
    <w:abstractNumId w:val="2"/>
  </w:num>
  <w:num w:numId="15">
    <w:abstractNumId w:val="2"/>
  </w:num>
  <w:num w:numId="16">
    <w:abstractNumId w:val="2"/>
  </w:num>
  <w:num w:numId="17">
    <w:abstractNumId w:val="2"/>
  </w:num>
  <w:num w:numId="18">
    <w:abstractNumId w:val="2"/>
    <w:lvlOverride w:ilvl="0">
      <w:startOverride w:val="1"/>
    </w:lvlOverride>
  </w:num>
  <w:num w:numId="19">
    <w:abstractNumId w:val="2"/>
  </w:num>
  <w:num w:numId="20">
    <w:abstractNumId w:val="2"/>
  </w:num>
  <w:num w:numId="21">
    <w:abstractNumId w:val="2"/>
  </w:num>
  <w:num w:numId="22">
    <w:abstractNumId w:val="2"/>
  </w:num>
  <w:num w:numId="23">
    <w:abstractNumId w:val="2"/>
    <w:lvlOverride w:ilvl="0">
      <w:startOverride w:val="1"/>
    </w:lvlOverride>
  </w:num>
  <w:num w:numId="24">
    <w:abstractNumId w:val="2"/>
  </w:num>
  <w:num w:numId="25">
    <w:abstractNumId w:val="2"/>
  </w:num>
  <w:num w:numId="26">
    <w:abstractNumId w:val="2"/>
    <w:lvlOverride w:ilvl="0">
      <w:startOverride w:val="1"/>
    </w:lvlOverride>
  </w:num>
  <w:num w:numId="27">
    <w:abstractNumId w:val="2"/>
  </w:num>
  <w:num w:numId="28">
    <w:abstractNumId w:val="2"/>
  </w:num>
  <w:num w:numId="29">
    <w:abstractNumId w:val="2"/>
  </w:num>
  <w:num w:numId="30">
    <w:abstractNumId w:val="2"/>
    <w:lvlOverride w:ilvl="0">
      <w:startOverride w:val="1"/>
    </w:lvlOverride>
  </w:num>
  <w:num w:numId="31">
    <w:abstractNumId w:val="2"/>
  </w:num>
  <w:num w:numId="32">
    <w:abstractNumId w:val="2"/>
  </w:num>
  <w:num w:numId="33">
    <w:abstractNumId w:val="2"/>
  </w:num>
  <w:num w:numId="34">
    <w:abstractNumId w:val="2"/>
    <w:lvlOverride w:ilvl="0">
      <w:startOverride w:val="1"/>
    </w:lvlOverride>
  </w:num>
  <w:num w:numId="35">
    <w:abstractNumId w:val="2"/>
  </w:num>
  <w:num w:numId="36">
    <w:abstractNumId w:val="2"/>
  </w:num>
  <w:num w:numId="37">
    <w:abstractNumId w:val="2"/>
    <w:lvlOverride w:ilvl="0">
      <w:startOverride w:val="1"/>
    </w:lvlOverride>
  </w:num>
  <w:num w:numId="38">
    <w:abstractNumId w:val="2"/>
  </w:num>
  <w:num w:numId="39">
    <w:abstractNumId w:val="2"/>
  </w:num>
  <w:num w:numId="40">
    <w:abstractNumId w:val="2"/>
  </w:num>
  <w:num w:numId="41">
    <w:abstractNumId w:val="2"/>
  </w:num>
  <w:num w:numId="42">
    <w:abstractNumId w:val="2"/>
    <w:lvlOverride w:ilvl="0">
      <w:startOverride w:val="1"/>
    </w:lvlOverride>
  </w:num>
  <w:num w:numId="43">
    <w:abstractNumId w:val="2"/>
  </w:num>
  <w:num w:numId="44">
    <w:abstractNumId w:val="2"/>
  </w:num>
  <w:num w:numId="45">
    <w:abstractNumId w:val="2"/>
  </w:num>
  <w:num w:numId="46">
    <w:abstractNumId w:val="2"/>
    <w:lvlOverride w:ilvl="0">
      <w:startOverride w:val="1"/>
    </w:lvlOverride>
  </w:num>
  <w:num w:numId="47">
    <w:abstractNumId w:val="2"/>
  </w:num>
  <w:num w:numId="48">
    <w:abstractNumId w:val="2"/>
  </w:num>
  <w:num w:numId="49">
    <w:abstractNumId w:val="2"/>
  </w:num>
  <w:num w:numId="50">
    <w:abstractNumId w:val="2"/>
  </w:num>
  <w:num w:numId="51">
    <w:abstractNumId w:val="2"/>
  </w:num>
  <w:num w:numId="52">
    <w:abstractNumId w:val="2"/>
  </w:num>
</w:numbering>
</file>

<file path=word/settings.xml><?xml version="1.0" encoding="utf-8"?>
<w:settings xmlns:w="http://schemas.openxmlformats.org/wordprocessingml/2006/main">
  <w:zoom w:percent="220"/>
  <w:defaultTabStop w:val="720"/>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Bahnschrift" w:hAnsi="Bahnschrift" w:eastAsia="Bahnschrift" w:cs="Bahnschrift"/>
        <w:color w:val="23232F"/>
        <w:sz w:val="19"/>
        <w:szCs w:val="19"/>
        <w:lang w:val="de-DE" w:eastAsia="zh-CN" w:bidi="hi-IN"/>
      </w:rPr>
    </w:rPrDefault>
    <w:pPrDefault>
      <w:pPr>
        <w:suppressAutoHyphens w:val="true"/>
      </w:pPr>
    </w:pPrDefault>
  </w:docDefaults>
  <w:style w:type="paragraph" w:styleId="Normal">
    <w:name w:val="Normal"/>
    <w:qFormat/>
    <w:pPr>
      <w:widowControl w:val="false"/>
      <w:kinsoku w:val="true"/>
      <w:overflowPunct w:val="true"/>
      <w:autoSpaceDE w:val="true"/>
      <w:bidi w:val="0"/>
    </w:pPr>
    <w:rPr>
      <w:rFonts w:ascii="Bahnschrift" w:hAnsi="Bahnschrift" w:eastAsia="Bahnschrift" w:cs="Bahnschrift"/>
      <w:color w:val="23232F"/>
      <w:kern w:val="0"/>
      <w:sz w:val="19"/>
      <w:szCs w:val="19"/>
      <w:lang w:val="de-DE" w:eastAsia="zh-CN" w:bidi="hi-IN"/>
    </w:rPr>
  </w:style>
  <w:style w:type="paragraph" w:styleId="Heading1">
    <w:name w:val="Heading 1"/>
    <w:basedOn w:val="berschrift"/>
    <w:qFormat/>
    <w:pPr>
      <w:keepNext w:val="true"/>
      <w:numPr>
        <w:ilvl w:val="0"/>
        <w:numId w:val="0"/>
      </w:numPr>
      <w:spacing w:before="0" w:after="200"/>
      <w:outlineLvl w:val="0"/>
    </w:pPr>
    <w:rPr>
      <w:rFonts w:ascii="Bahnschrift" w:hAnsi="Bahnschrift" w:eastAsia="Bahnschrift" w:cs="Bahnschrift"/>
      <w:b/>
      <w:bCs/>
      <w:color w:val="1E1D2D"/>
      <w:sz w:val="40"/>
      <w:szCs w:val="40"/>
    </w:rPr>
  </w:style>
  <w:style w:type="paragraph" w:styleId="Heading2">
    <w:name w:val="Heading 2"/>
    <w:basedOn w:val="berschrift"/>
    <w:qFormat/>
    <w:pPr>
      <w:keepNext w:val="true"/>
      <w:numPr>
        <w:ilvl w:val="0"/>
        <w:numId w:val="0"/>
      </w:numPr>
      <w:spacing w:before="320" w:after="120"/>
      <w:outlineLvl w:val="1"/>
    </w:pPr>
    <w:rPr>
      <w:rFonts w:ascii="Bahnschrift" w:hAnsi="Bahnschrift" w:eastAsia="Bahnschrift" w:cs="Bahnschrift"/>
      <w:b/>
      <w:bCs/>
      <w:color w:val="1E1D2D"/>
      <w:sz w:val="28"/>
      <w:szCs w:val="28"/>
    </w:rPr>
  </w:style>
  <w:style w:type="paragraph" w:styleId="Heading3">
    <w:name w:val="Heading 3"/>
    <w:basedOn w:val="berschrift"/>
    <w:qFormat/>
    <w:pPr>
      <w:keepNext w:val="true"/>
      <w:numPr>
        <w:ilvl w:val="0"/>
        <w:numId w:val="0"/>
      </w:numPr>
      <w:spacing w:before="220" w:after="90"/>
      <w:outlineLvl w:val="2"/>
    </w:pPr>
    <w:rPr>
      <w:rFonts w:ascii="Bahnschrift" w:hAnsi="Bahnschrift" w:eastAsia="Bahnschrift" w:cs="Bahnschrift"/>
      <w:b/>
      <w:bCs/>
      <w:color w:val="1E1D2D"/>
      <w:sz w:val="23"/>
      <w:szCs w:val="23"/>
    </w:rPr>
  </w:style>
  <w:style w:type="paragraph" w:styleId="Heading4">
    <w:name w:val="Heading 4"/>
    <w:basedOn w:val="berschrift"/>
    <w:qFormat/>
    <w:pPr>
      <w:keepNext w:val="true"/>
      <w:numPr>
        <w:ilvl w:val="0"/>
        <w:numId w:val="0"/>
      </w:numPr>
      <w:spacing w:before="160" w:after="60"/>
      <w:outlineLvl w:val="3"/>
    </w:pPr>
    <w:rPr>
      <w:rFonts w:ascii="Bahnschrift" w:hAnsi="Bahnschrift" w:eastAsia="Bahnschrift" w:cs="Bahnschrift"/>
      <w:b/>
      <w:bCs/>
      <w:color w:val="4A6A94"/>
      <w:sz w:val="20"/>
      <w:szCs w:val="20"/>
    </w:rPr>
  </w:style>
  <w:style w:type="paragraph" w:styleId="Heading5">
    <w:name w:val="Heading 5"/>
    <w:basedOn w:val="berschrift"/>
    <w:qFormat/>
    <w:pPr/>
    <w:rPr>
      <w:color w:val="2E74B5"/>
    </w:rPr>
  </w:style>
  <w:style w:type="paragraph" w:styleId="Heading6">
    <w:name w:val="Heading 6"/>
    <w:basedOn w:val="berschrift"/>
    <w:qFormat/>
    <w:pPr/>
    <w:rPr>
      <w:color w:val="1F4D78"/>
    </w:rPr>
  </w:style>
  <w:style w:type="character" w:styleId="Hyperlink">
    <w:name w:val="Hyperlink"/>
    <w:rPr>
      <w:color w:val="0563C1"/>
      <w:u w:val="single"/>
    </w:rPr>
  </w:style>
  <w:style w:type="character" w:styleId="Funotenzeichen">
    <w:name w:val="Fußnotenzeichen"/>
    <w:qFormat/>
    <w:rPr>
      <w:vertAlign w:val="superscript"/>
    </w:rPr>
  </w:style>
  <w:style w:type="character" w:styleId="FootnoteReference">
    <w:name w:val="Footnote Reference"/>
    <w:rPr>
      <w:vertAlign w:val="superscript"/>
    </w:rPr>
  </w:style>
  <w:style w:type="character" w:styleId="FootnoteTextChar">
    <w:name w:val="Footnote Text Char"/>
    <w:qFormat/>
    <w:rPr>
      <w:sz w:val="20"/>
      <w:szCs w:val="20"/>
    </w:rPr>
  </w:style>
  <w:style w:type="character" w:styleId="Endnotenzeichen">
    <w:name w:val="Endnotenzeichen"/>
    <w:qFormat/>
    <w:rPr>
      <w:vertAlign w:val="superscript"/>
    </w:rPr>
  </w:style>
  <w:style w:type="character" w:styleId="EndnoteReference">
    <w:name w:val="Endnote Reference"/>
    <w:rPr>
      <w:vertAlign w:val="superscript"/>
    </w:rPr>
  </w:style>
  <w:style w:type="character" w:styleId="EndnoteTextChar">
    <w:name w:val="Endnote Text Char"/>
    <w:link w:val="EndnoteText"/>
    <w:qFormat/>
    <w:rPr>
      <w:sz w:val="20"/>
      <w:szCs w:val="20"/>
    </w:rPr>
  </w:style>
  <w:style w:type="paragraph" w:styleId="berschrift">
    <w:name w:val="Überschrift"/>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Verzeichnis">
    <w:name w:val="Verzeichnis"/>
    <w:basedOn w:val="Normal"/>
    <w:qFormat/>
    <w:pPr>
      <w:suppressLineNumbers/>
    </w:pPr>
    <w:rPr>
      <w:rFonts w:cs="FreeSans"/>
    </w:rPr>
  </w:style>
  <w:style w:type="paragraph" w:styleId="Title">
    <w:name w:val="Title"/>
    <w:basedOn w:val="berschrift"/>
    <w:qFormat/>
    <w:pPr/>
    <w:rPr>
      <w:sz w:val="56"/>
      <w:szCs w:val="56"/>
    </w:rPr>
  </w:style>
  <w:style w:type="paragraph" w:styleId="StrongEmphasis">
    <w:name w:val="Strong Emphasis"/>
    <w:qFormat/>
    <w:pPr>
      <w:widowControl w:val="false"/>
      <w:kinsoku w:val="true"/>
      <w:overflowPunct w:val="true"/>
      <w:autoSpaceDE w:val="true"/>
      <w:bidi w:val="0"/>
    </w:pPr>
    <w:rPr>
      <w:rFonts w:ascii="Bahnschrift" w:hAnsi="Bahnschrift" w:eastAsia="Bahnschrift" w:cs="Bahnschrift"/>
      <w:b/>
      <w:bCs/>
      <w:color w:val="23232F"/>
      <w:kern w:val="0"/>
      <w:sz w:val="19"/>
      <w:szCs w:val="19"/>
      <w:lang w:val="de-DE" w:eastAsia="zh-CN" w:bidi="hi-IN"/>
    </w:rPr>
  </w:style>
  <w:style w:type="paragraph" w:styleId="ListParagraph">
    <w:name w:val="List Paragraph"/>
    <w:qFormat/>
    <w:pPr>
      <w:widowControl w:val="false"/>
      <w:kinsoku w:val="true"/>
      <w:overflowPunct w:val="true"/>
      <w:autoSpaceDE w:val="true"/>
      <w:bidi w:val="0"/>
    </w:pPr>
    <w:rPr>
      <w:rFonts w:ascii="Bahnschrift" w:hAnsi="Bahnschrift" w:eastAsia="Bahnschrift" w:cs="Bahnschrift"/>
      <w:color w:val="23232F"/>
      <w:kern w:val="0"/>
      <w:sz w:val="19"/>
      <w:szCs w:val="19"/>
      <w:lang w:val="de-DE" w:eastAsia="zh-CN" w:bidi="hi-IN"/>
    </w:rPr>
  </w:style>
  <w:style w:type="paragraph" w:styleId="FootnoteText">
    <w:name w:val="Footnote Text"/>
    <w:basedOn w:val="Normal"/>
    <w:link w:val="FootnoteTextChar"/>
    <w:pPr>
      <w:spacing w:lineRule="auto" w:line="240" w:before="0" w:after="0"/>
    </w:pPr>
    <w:rPr>
      <w:sz w:val="20"/>
      <w:szCs w:val="20"/>
    </w:rPr>
  </w:style>
  <w:style w:type="paragraph" w:styleId="EndnoteText">
    <w:name w:val="Endnote Text"/>
    <w:basedOn w:val="Normal"/>
    <w:link w:val="EndnoteTextChar"/>
    <w:pPr>
      <w:spacing w:lineRule="auto" w:line="240" w:before="0" w:after="0"/>
    </w:pPr>
    <w:rPr>
      <w:sz w:val="20"/>
      <w:szCs w:val="20"/>
    </w:rPr>
  </w:style>
  <w:style w:type="paragraph" w:styleId="Kopf-Fuzeile">
    <w:name w:val="Kopf-/Fußzeile"/>
    <w:basedOn w:val="Normal"/>
    <w:qFormat/>
    <w:pPr/>
    <w:rPr/>
  </w:style>
  <w:style w:type="paragraph" w:styleId="Header">
    <w:name w:val="Header"/>
    <w:basedOn w:val="Kopf-Fuzeile"/>
    <w:pPr/>
    <w:rPr/>
  </w:style>
  <w:style w:type="paragraph" w:styleId="Footer">
    <w:name w:val="Footer"/>
    <w:basedOn w:val="Kopf-Fuzeile"/>
    <w:pPr/>
    <w:rPr/>
  </w:style>
  <w:style w:type="paragraph" w:styleId="Tabelleninhalt">
    <w:name w:val="Tabelleninhalt"/>
    <w:basedOn w:val="Normal"/>
    <w:qFormat/>
    <w:pPr>
      <w:widowControl w:val="false"/>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26</TotalTime>
  <Application>LibreOffice/24.2.7.2$Linux_X86_64 LibreOffice_project/420$Build-2</Application>
  <AppVersion>15.0000</AppVersion>
  <Pages>136</Pages>
  <Words>45808</Words>
  <Characters>314707</Characters>
  <CharactersWithSpaces>356320</CharactersWithSpaces>
  <Paragraphs>4805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2026-10-05T10:41:07Z</dcterms:created>
  <dc:creator>AMNAU GmbH</dc:creator>
  <dc:description>Version 1.0 · Stand 2026-10-05 · Produktstand WORKSPACE.PM 2.0.9</dc:description>
  <cp:keywords>WORKSPACE.PM KI Compliance DSGVO KI-Verordnung BetrVG</cp:keywords>
  <dc:language>de-DE</dc:language>
  <cp:lastModifiedBy/>
  <dcterms:modified xsi:type="dcterms:W3CDTF">2026-10-09T12:11:35Z</dcterms:modified>
  <cp:revision>7</cp:revision>
  <dc:subject>Künstliche Intelligenz in WORKSPACE.PM: Transparenz- und Compliance-Dokumentation</dc:subject>
  <dc:title>Muster-Betriebsvereinbarung: Einsatz von KI-Funktionen in WORKSPACE.PM</dc:title>
</cp:coreProperties>
</file>